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EC6BB" w14:textId="77777777" w:rsidR="00721E4D" w:rsidRDefault="00721E4D">
      <w:pPr>
        <w:widowControl/>
        <w:ind w:left="1120" w:hangingChars="350" w:hanging="1120"/>
        <w:jc w:val="left"/>
        <w:rPr>
          <w:rFonts w:ascii="黑体" w:eastAsia="黑体" w:hAnsi="黑体" w:hint="eastAsia"/>
          <w:sz w:val="32"/>
          <w:szCs w:val="32"/>
        </w:rPr>
      </w:pPr>
    </w:p>
    <w:p w14:paraId="428AE959" w14:textId="77777777" w:rsidR="00721E4D" w:rsidRDefault="007173D1">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51C6FFD9" wp14:editId="5A51FDC6">
            <wp:extent cx="1079500" cy="935990"/>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a:stretch>
                      <a:fillRect/>
                    </a:stretch>
                  </pic:blipFill>
                  <pic:spPr>
                    <a:xfrm>
                      <a:off x="0" y="0"/>
                      <a:ext cx="1080000" cy="936000"/>
                    </a:xfrm>
                    <a:prstGeom prst="rect">
                      <a:avLst/>
                    </a:prstGeom>
                  </pic:spPr>
                </pic:pic>
              </a:graphicData>
            </a:graphic>
          </wp:inline>
        </w:drawing>
      </w:r>
    </w:p>
    <w:p w14:paraId="6626C702" w14:textId="77777777" w:rsidR="00721E4D" w:rsidRDefault="007173D1">
      <w:pPr>
        <w:widowControl/>
        <w:spacing w:before="120" w:line="400" w:lineRule="exact"/>
        <w:ind w:firstLineChars="0" w:firstLine="0"/>
        <w:jc w:val="center"/>
        <w:rPr>
          <w:rFonts w:ascii="MS Reference Sans Serif" w:eastAsia="Microsoft YaHei UI" w:hAnsi="MS Reference Sans Serif" w:cs="Times New Roman"/>
          <w:color w:val="FFFFFF" w:themeColor="background1"/>
          <w:sz w:val="32"/>
          <w:szCs w:val="32"/>
        </w:rPr>
      </w:pPr>
      <w:r>
        <w:rPr>
          <w:rFonts w:ascii="MS Reference Sans Serif" w:eastAsia="Microsoft YaHei UI" w:hAnsi="MS Reference Sans Serif" w:cs="Times New Roman"/>
          <w:color w:val="FFFFFF" w:themeColor="background1"/>
          <w:sz w:val="32"/>
          <w:szCs w:val="32"/>
          <w:highlight w:val="red"/>
        </w:rPr>
        <w:t>International Red Newsletter</w:t>
      </w:r>
    </w:p>
    <w:p w14:paraId="78AD8318" w14:textId="77777777" w:rsidR="00721E4D" w:rsidRDefault="00721E4D">
      <w:pPr>
        <w:widowControl/>
        <w:ind w:left="1120" w:hangingChars="350" w:hanging="1120"/>
        <w:jc w:val="left"/>
        <w:rPr>
          <w:rFonts w:ascii="黑体" w:eastAsia="黑体" w:hAnsi="黑体" w:hint="eastAsia"/>
          <w:sz w:val="32"/>
          <w:szCs w:val="32"/>
        </w:rPr>
      </w:pPr>
    </w:p>
    <w:sdt>
      <w:sdtPr>
        <w:rPr>
          <w:rStyle w:val="afd"/>
          <w:rFonts w:ascii="黑体" w:eastAsia="黑体" w:hAnsi="黑体"/>
          <w:color w:val="auto"/>
          <w:u w:val="none"/>
        </w:rPr>
        <w:id w:val="-1677489404"/>
        <w:docPartObj>
          <w:docPartGallery w:val="Table of Contents"/>
          <w:docPartUnique/>
        </w:docPartObj>
      </w:sdtPr>
      <w:sdtEndPr>
        <w:rPr>
          <w:rStyle w:val="a0"/>
          <w:w w:val="100"/>
        </w:rPr>
      </w:sdtEndPr>
      <w:sdtContent>
        <w:p w14:paraId="64D80232" w14:textId="1D7FF58F" w:rsidR="0056794C" w:rsidRPr="0056794C" w:rsidRDefault="007173D1">
          <w:pPr>
            <w:pStyle w:val="TOC1"/>
            <w:rPr>
              <w:rFonts w:asciiTheme="minorHAnsi" w:eastAsiaTheme="minorEastAsia" w:hAnsiTheme="minorHAnsi" w:cstheme="minorBidi"/>
              <w:noProof/>
              <w:w w:val="100"/>
              <w:sz w:val="21"/>
              <w:szCs w:val="22"/>
              <w14:ligatures w14:val="standardContextual"/>
            </w:rPr>
          </w:pPr>
          <w:r>
            <w:rPr>
              <w:w w:val="100"/>
            </w:rPr>
            <w:fldChar w:fldCharType="begin"/>
          </w:r>
          <w:r>
            <w:rPr>
              <w:w w:val="100"/>
            </w:rPr>
            <w:instrText xml:space="preserve"> TOC \o "1-3" \h \z \u </w:instrText>
          </w:r>
          <w:r>
            <w:rPr>
              <w:w w:val="100"/>
            </w:rPr>
            <w:fldChar w:fldCharType="separate"/>
          </w:r>
          <w:hyperlink w:anchor="_Toc185968493" w:history="1">
            <w:r w:rsidR="0056794C" w:rsidRPr="0056794C">
              <w:rPr>
                <w:rStyle w:val="afd"/>
                <w:rFonts w:ascii="黑体" w:eastAsia="黑体" w:hAnsi="黑体" w:hint="eastAsia"/>
                <w:noProof/>
                <w:w w:val="100"/>
              </w:rPr>
              <w:t>巴勒斯坦共产党关于叙利亚局势的声明</w:t>
            </w:r>
            <w:r w:rsidR="0056794C" w:rsidRPr="0056794C">
              <w:rPr>
                <w:rFonts w:hint="eastAsia"/>
                <w:noProof/>
                <w:webHidden/>
                <w:w w:val="100"/>
              </w:rPr>
              <w:tab/>
            </w:r>
            <w:r w:rsidR="0056794C" w:rsidRPr="0056794C">
              <w:rPr>
                <w:rFonts w:hint="eastAsia"/>
                <w:noProof/>
                <w:webHidden/>
                <w:w w:val="100"/>
              </w:rPr>
              <w:fldChar w:fldCharType="begin"/>
            </w:r>
            <w:r w:rsidR="0056794C" w:rsidRPr="0056794C">
              <w:rPr>
                <w:rFonts w:hint="eastAsia"/>
                <w:noProof/>
                <w:webHidden/>
                <w:w w:val="100"/>
              </w:rPr>
              <w:instrText xml:space="preserve"> </w:instrText>
            </w:r>
            <w:r w:rsidR="0056794C" w:rsidRPr="0056794C">
              <w:rPr>
                <w:noProof/>
                <w:webHidden/>
                <w:w w:val="100"/>
              </w:rPr>
              <w:instrText>PAGEREF _Toc185968493 \h</w:instrText>
            </w:r>
            <w:r w:rsidR="0056794C" w:rsidRPr="0056794C">
              <w:rPr>
                <w:rFonts w:hint="eastAsia"/>
                <w:noProof/>
                <w:webHidden/>
                <w:w w:val="100"/>
              </w:rPr>
              <w:instrText xml:space="preserve"> </w:instrText>
            </w:r>
            <w:r w:rsidR="0056794C" w:rsidRPr="0056794C">
              <w:rPr>
                <w:rFonts w:hint="eastAsia"/>
                <w:noProof/>
                <w:webHidden/>
                <w:w w:val="100"/>
              </w:rPr>
            </w:r>
            <w:r w:rsidR="0056794C" w:rsidRPr="0056794C">
              <w:rPr>
                <w:rFonts w:hint="eastAsia"/>
                <w:noProof/>
                <w:webHidden/>
                <w:w w:val="100"/>
              </w:rPr>
              <w:fldChar w:fldCharType="separate"/>
            </w:r>
            <w:r w:rsidR="0054034C">
              <w:rPr>
                <w:rFonts w:hint="eastAsia"/>
                <w:noProof/>
                <w:webHidden/>
                <w:w w:val="100"/>
              </w:rPr>
              <w:t>1</w:t>
            </w:r>
            <w:r w:rsidR="0056794C" w:rsidRPr="0056794C">
              <w:rPr>
                <w:rFonts w:hint="eastAsia"/>
                <w:noProof/>
                <w:webHidden/>
                <w:w w:val="100"/>
              </w:rPr>
              <w:fldChar w:fldCharType="end"/>
            </w:r>
          </w:hyperlink>
        </w:p>
        <w:p w14:paraId="4DD92170" w14:textId="51CC9BF8" w:rsidR="0056794C" w:rsidRPr="0056794C" w:rsidRDefault="0056794C">
          <w:pPr>
            <w:pStyle w:val="TOC1"/>
            <w:rPr>
              <w:rFonts w:asciiTheme="minorHAnsi" w:eastAsiaTheme="minorEastAsia" w:hAnsiTheme="minorHAnsi" w:cstheme="minorBidi"/>
              <w:noProof/>
              <w:w w:val="100"/>
              <w:sz w:val="21"/>
              <w:szCs w:val="22"/>
              <w14:ligatures w14:val="standardContextual"/>
            </w:rPr>
          </w:pPr>
          <w:hyperlink w:anchor="_Toc185968494" w:history="1">
            <w:r w:rsidRPr="0056794C">
              <w:rPr>
                <w:rStyle w:val="afd"/>
                <w:rFonts w:ascii="黑体" w:eastAsia="黑体" w:hAnsi="黑体" w:hint="eastAsia"/>
                <w:noProof/>
                <w:w w:val="100"/>
              </w:rPr>
              <w:t>阿拉伯国家共产党声援叙利亚人民的联合声明</w:t>
            </w:r>
            <w:r w:rsidRPr="0056794C">
              <w:rPr>
                <w:rFonts w:hint="eastAsia"/>
                <w:noProof/>
                <w:webHidden/>
                <w:w w:val="100"/>
              </w:rPr>
              <w:tab/>
            </w:r>
            <w:r w:rsidRPr="0056794C">
              <w:rPr>
                <w:rFonts w:hint="eastAsia"/>
                <w:noProof/>
                <w:webHidden/>
                <w:w w:val="100"/>
              </w:rPr>
              <w:fldChar w:fldCharType="begin"/>
            </w:r>
            <w:r w:rsidRPr="0056794C">
              <w:rPr>
                <w:rFonts w:hint="eastAsia"/>
                <w:noProof/>
                <w:webHidden/>
                <w:w w:val="100"/>
              </w:rPr>
              <w:instrText xml:space="preserve"> </w:instrText>
            </w:r>
            <w:r w:rsidRPr="0056794C">
              <w:rPr>
                <w:noProof/>
                <w:webHidden/>
                <w:w w:val="100"/>
              </w:rPr>
              <w:instrText>PAGEREF _Toc185968494 \h</w:instrText>
            </w:r>
            <w:r w:rsidRPr="0056794C">
              <w:rPr>
                <w:rFonts w:hint="eastAsia"/>
                <w:noProof/>
                <w:webHidden/>
                <w:w w:val="100"/>
              </w:rPr>
              <w:instrText xml:space="preserve"> </w:instrText>
            </w:r>
            <w:r w:rsidRPr="0056794C">
              <w:rPr>
                <w:rFonts w:hint="eastAsia"/>
                <w:noProof/>
                <w:webHidden/>
                <w:w w:val="100"/>
              </w:rPr>
            </w:r>
            <w:r w:rsidRPr="0056794C">
              <w:rPr>
                <w:rFonts w:hint="eastAsia"/>
                <w:noProof/>
                <w:webHidden/>
                <w:w w:val="100"/>
              </w:rPr>
              <w:fldChar w:fldCharType="separate"/>
            </w:r>
            <w:r w:rsidR="0054034C">
              <w:rPr>
                <w:rFonts w:hint="eastAsia"/>
                <w:noProof/>
                <w:webHidden/>
                <w:w w:val="100"/>
              </w:rPr>
              <w:t>4</w:t>
            </w:r>
            <w:r w:rsidRPr="0056794C">
              <w:rPr>
                <w:rFonts w:hint="eastAsia"/>
                <w:noProof/>
                <w:webHidden/>
                <w:w w:val="100"/>
              </w:rPr>
              <w:fldChar w:fldCharType="end"/>
            </w:r>
          </w:hyperlink>
        </w:p>
        <w:p w14:paraId="1DE4A765" w14:textId="595D8467" w:rsidR="0056794C" w:rsidRPr="0056794C" w:rsidRDefault="0056794C">
          <w:pPr>
            <w:pStyle w:val="TOC1"/>
            <w:rPr>
              <w:rFonts w:asciiTheme="minorHAnsi" w:eastAsiaTheme="minorEastAsia" w:hAnsiTheme="minorHAnsi" w:cstheme="minorBidi"/>
              <w:noProof/>
              <w:w w:val="100"/>
              <w:sz w:val="21"/>
              <w:szCs w:val="22"/>
              <w14:ligatures w14:val="standardContextual"/>
            </w:rPr>
          </w:pPr>
          <w:hyperlink w:anchor="_Toc185968495" w:history="1">
            <w:r w:rsidRPr="0056794C">
              <w:rPr>
                <w:rStyle w:val="afd"/>
                <w:rFonts w:ascii="黑体" w:eastAsia="黑体" w:hAnsi="黑体" w:hint="eastAsia"/>
                <w:noProof/>
                <w:w w:val="100"/>
              </w:rPr>
              <w:t>解放巴勒斯坦人民阵线纪念“阿克萨洪水”一周年</w:t>
            </w:r>
            <w:r w:rsidRPr="0056794C">
              <w:rPr>
                <w:rFonts w:hint="eastAsia"/>
                <w:noProof/>
                <w:webHidden/>
                <w:w w:val="100"/>
              </w:rPr>
              <w:tab/>
            </w:r>
            <w:r w:rsidRPr="0056794C">
              <w:rPr>
                <w:rFonts w:hint="eastAsia"/>
                <w:noProof/>
                <w:webHidden/>
                <w:w w:val="100"/>
              </w:rPr>
              <w:fldChar w:fldCharType="begin"/>
            </w:r>
            <w:r w:rsidRPr="0056794C">
              <w:rPr>
                <w:rFonts w:hint="eastAsia"/>
                <w:noProof/>
                <w:webHidden/>
                <w:w w:val="100"/>
              </w:rPr>
              <w:instrText xml:space="preserve"> </w:instrText>
            </w:r>
            <w:r w:rsidRPr="0056794C">
              <w:rPr>
                <w:noProof/>
                <w:webHidden/>
                <w:w w:val="100"/>
              </w:rPr>
              <w:instrText>PAGEREF _Toc185968495 \h</w:instrText>
            </w:r>
            <w:r w:rsidRPr="0056794C">
              <w:rPr>
                <w:rFonts w:hint="eastAsia"/>
                <w:noProof/>
                <w:webHidden/>
                <w:w w:val="100"/>
              </w:rPr>
              <w:instrText xml:space="preserve"> </w:instrText>
            </w:r>
            <w:r w:rsidRPr="0056794C">
              <w:rPr>
                <w:rFonts w:hint="eastAsia"/>
                <w:noProof/>
                <w:webHidden/>
                <w:w w:val="100"/>
              </w:rPr>
            </w:r>
            <w:r w:rsidRPr="0056794C">
              <w:rPr>
                <w:rFonts w:hint="eastAsia"/>
                <w:noProof/>
                <w:webHidden/>
                <w:w w:val="100"/>
              </w:rPr>
              <w:fldChar w:fldCharType="separate"/>
            </w:r>
            <w:r w:rsidR="0054034C">
              <w:rPr>
                <w:rFonts w:hint="eastAsia"/>
                <w:noProof/>
                <w:webHidden/>
                <w:w w:val="100"/>
              </w:rPr>
              <w:t>7</w:t>
            </w:r>
            <w:r w:rsidRPr="0056794C">
              <w:rPr>
                <w:rFonts w:hint="eastAsia"/>
                <w:noProof/>
                <w:webHidden/>
                <w:w w:val="100"/>
              </w:rPr>
              <w:fldChar w:fldCharType="end"/>
            </w:r>
          </w:hyperlink>
        </w:p>
        <w:p w14:paraId="67F6A222" w14:textId="5C07B120" w:rsidR="0056794C" w:rsidRPr="0056794C" w:rsidRDefault="0056794C">
          <w:pPr>
            <w:pStyle w:val="TOC1"/>
            <w:rPr>
              <w:rFonts w:asciiTheme="minorHAnsi" w:eastAsiaTheme="minorEastAsia" w:hAnsiTheme="minorHAnsi" w:cstheme="minorBidi"/>
              <w:noProof/>
              <w:w w:val="100"/>
              <w:sz w:val="21"/>
              <w:szCs w:val="22"/>
              <w14:ligatures w14:val="standardContextual"/>
            </w:rPr>
          </w:pPr>
          <w:hyperlink w:anchor="_Toc185968496" w:history="1">
            <w:r w:rsidRPr="0056794C">
              <w:rPr>
                <w:rStyle w:val="afd"/>
                <w:rFonts w:ascii="黑体" w:eastAsia="黑体" w:hAnsi="黑体" w:hint="eastAsia"/>
                <w:noProof/>
                <w:w w:val="100"/>
              </w:rPr>
              <w:t>法国革命共产党声援卡纳克人民争取权利的斗争</w:t>
            </w:r>
            <w:r w:rsidRPr="0056794C">
              <w:rPr>
                <w:rFonts w:hint="eastAsia"/>
                <w:noProof/>
                <w:webHidden/>
                <w:w w:val="100"/>
              </w:rPr>
              <w:tab/>
            </w:r>
            <w:r w:rsidRPr="0056794C">
              <w:rPr>
                <w:rFonts w:hint="eastAsia"/>
                <w:noProof/>
                <w:webHidden/>
                <w:w w:val="100"/>
              </w:rPr>
              <w:fldChar w:fldCharType="begin"/>
            </w:r>
            <w:r w:rsidRPr="0056794C">
              <w:rPr>
                <w:rFonts w:hint="eastAsia"/>
                <w:noProof/>
                <w:webHidden/>
                <w:w w:val="100"/>
              </w:rPr>
              <w:instrText xml:space="preserve"> </w:instrText>
            </w:r>
            <w:r w:rsidRPr="0056794C">
              <w:rPr>
                <w:noProof/>
                <w:webHidden/>
                <w:w w:val="100"/>
              </w:rPr>
              <w:instrText>PAGEREF _Toc185968496 \h</w:instrText>
            </w:r>
            <w:r w:rsidRPr="0056794C">
              <w:rPr>
                <w:rFonts w:hint="eastAsia"/>
                <w:noProof/>
                <w:webHidden/>
                <w:w w:val="100"/>
              </w:rPr>
              <w:instrText xml:space="preserve"> </w:instrText>
            </w:r>
            <w:r w:rsidRPr="0056794C">
              <w:rPr>
                <w:rFonts w:hint="eastAsia"/>
                <w:noProof/>
                <w:webHidden/>
                <w:w w:val="100"/>
              </w:rPr>
            </w:r>
            <w:r w:rsidRPr="0056794C">
              <w:rPr>
                <w:rFonts w:hint="eastAsia"/>
                <w:noProof/>
                <w:webHidden/>
                <w:w w:val="100"/>
              </w:rPr>
              <w:fldChar w:fldCharType="separate"/>
            </w:r>
            <w:r w:rsidR="0054034C">
              <w:rPr>
                <w:rFonts w:hint="eastAsia"/>
                <w:noProof/>
                <w:webHidden/>
                <w:w w:val="100"/>
              </w:rPr>
              <w:t>12</w:t>
            </w:r>
            <w:r w:rsidRPr="0056794C">
              <w:rPr>
                <w:rFonts w:hint="eastAsia"/>
                <w:noProof/>
                <w:webHidden/>
                <w:w w:val="100"/>
              </w:rPr>
              <w:fldChar w:fldCharType="end"/>
            </w:r>
          </w:hyperlink>
        </w:p>
        <w:p w14:paraId="24617C18" w14:textId="7BB6E763" w:rsidR="00721E4D" w:rsidRDefault="007173D1">
          <w:pPr>
            <w:pStyle w:val="TOC1"/>
            <w:rPr>
              <w:rFonts w:hint="eastAsia"/>
              <w:w w:val="100"/>
            </w:rPr>
          </w:pPr>
          <w:r>
            <w:rPr>
              <w:w w:val="100"/>
            </w:rPr>
            <w:fldChar w:fldCharType="end"/>
          </w:r>
        </w:p>
      </w:sdtContent>
    </w:sdt>
    <w:p w14:paraId="4AE26754" w14:textId="77777777" w:rsidR="00721E4D" w:rsidRDefault="00721E4D">
      <w:pPr>
        <w:widowControl/>
        <w:ind w:left="1120" w:hangingChars="350" w:hanging="1120"/>
        <w:jc w:val="left"/>
        <w:rPr>
          <w:rFonts w:ascii="黑体" w:eastAsia="黑体" w:hAnsi="黑体" w:hint="eastAsia"/>
          <w:sz w:val="32"/>
          <w:szCs w:val="32"/>
        </w:rPr>
      </w:pPr>
    </w:p>
    <w:p w14:paraId="6AA2EDB6" w14:textId="77777777" w:rsidR="00721E4D" w:rsidRDefault="00721E4D">
      <w:pPr>
        <w:widowControl/>
        <w:ind w:left="1120" w:hangingChars="350" w:hanging="1120"/>
        <w:jc w:val="left"/>
        <w:rPr>
          <w:rFonts w:ascii="黑体" w:eastAsia="黑体" w:hAnsi="黑体" w:hint="eastAsia"/>
          <w:sz w:val="32"/>
          <w:szCs w:val="32"/>
        </w:rPr>
      </w:pPr>
    </w:p>
    <w:p w14:paraId="0786440D" w14:textId="77777777" w:rsidR="00721E4D" w:rsidRDefault="00721E4D">
      <w:pPr>
        <w:widowControl/>
        <w:ind w:left="1120" w:hangingChars="350" w:hanging="1120"/>
        <w:jc w:val="left"/>
        <w:rPr>
          <w:rFonts w:ascii="黑体" w:eastAsia="黑体" w:hAnsi="黑体" w:hint="eastAsia"/>
          <w:sz w:val="32"/>
          <w:szCs w:val="32"/>
        </w:rPr>
      </w:pPr>
    </w:p>
    <w:p w14:paraId="44ED4D89" w14:textId="77777777" w:rsidR="00721E4D" w:rsidRDefault="00721E4D">
      <w:pPr>
        <w:widowControl/>
        <w:ind w:firstLineChars="0" w:firstLine="0"/>
        <w:jc w:val="left"/>
        <w:rPr>
          <w:rFonts w:ascii="黑体" w:eastAsia="黑体" w:hAnsi="黑体" w:hint="eastAsia"/>
          <w:sz w:val="32"/>
          <w:szCs w:val="32"/>
        </w:rPr>
      </w:pPr>
    </w:p>
    <w:p w14:paraId="5EC45E0E" w14:textId="77777777" w:rsidR="00721E4D" w:rsidRDefault="00721E4D">
      <w:pPr>
        <w:widowControl/>
        <w:ind w:left="1120" w:hangingChars="350" w:hanging="1120"/>
        <w:jc w:val="left"/>
        <w:rPr>
          <w:rFonts w:ascii="黑体" w:eastAsia="黑体" w:hAnsi="黑体" w:hint="eastAsia"/>
          <w:sz w:val="32"/>
          <w:szCs w:val="32"/>
        </w:rPr>
      </w:pPr>
    </w:p>
    <w:p w14:paraId="2E591E65" w14:textId="77777777" w:rsidR="00721E4D" w:rsidRDefault="00721E4D">
      <w:pPr>
        <w:widowControl/>
        <w:ind w:left="1120" w:hangingChars="350" w:hanging="1120"/>
        <w:jc w:val="left"/>
        <w:rPr>
          <w:rFonts w:ascii="黑体" w:eastAsia="黑体" w:hAnsi="黑体" w:hint="eastAsia"/>
          <w:sz w:val="32"/>
          <w:szCs w:val="32"/>
        </w:rPr>
      </w:pPr>
    </w:p>
    <w:p w14:paraId="2BEFE455" w14:textId="77777777" w:rsidR="00721E4D" w:rsidRDefault="007173D1">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24</w:t>
      </w:r>
      <w:r>
        <w:rPr>
          <w:rFonts w:ascii="黑体" w:eastAsia="黑体" w:hAnsi="黑体" w:cs="Times New Roman" w:hint="eastAsia"/>
          <w:sz w:val="30"/>
          <w:szCs w:val="30"/>
        </w:rPr>
        <w:t>年第25期</w:t>
      </w:r>
    </w:p>
    <w:p w14:paraId="2D1749FA" w14:textId="77777777" w:rsidR="00721E4D" w:rsidRDefault="007173D1">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Pr>
          <w:rFonts w:ascii="黑体" w:eastAsia="黑体" w:hAnsi="黑体" w:cs="Times New Roman"/>
          <w:sz w:val="30"/>
          <w:szCs w:val="30"/>
        </w:rPr>
        <w:t>4</w:t>
      </w:r>
      <w:r>
        <w:rPr>
          <w:rFonts w:ascii="黑体" w:eastAsia="黑体" w:hAnsi="黑体" w:cs="Times New Roman" w:hint="eastAsia"/>
          <w:sz w:val="30"/>
          <w:szCs w:val="30"/>
        </w:rPr>
        <w:t>年12月24日</w:t>
      </w:r>
      <w:r>
        <w:rPr>
          <w:rFonts w:ascii="黑体" w:eastAsia="黑体" w:hAnsi="黑体" w:cs="Times New Roman"/>
          <w:sz w:val="30"/>
          <w:szCs w:val="30"/>
        </w:rPr>
        <w:br w:type="page"/>
      </w:r>
    </w:p>
    <w:p w14:paraId="717DBF07" w14:textId="7628BA41" w:rsidR="00721E4D" w:rsidRDefault="007173D1">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00166D21" w14:textId="77777777" w:rsidR="00721E4D" w:rsidRDefault="007173D1">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themeColor="background1"/>
          <w:sz w:val="32"/>
          <w:szCs w:val="32"/>
          <w:highlight w:val="red"/>
        </w:rPr>
        <w:t>IRN.red</w:t>
      </w:r>
      <w:r>
        <w:rPr>
          <w:rFonts w:ascii="仿宋" w:eastAsia="仿宋" w:hAnsi="仿宋" w:cs="Times New Roman" w:hint="eastAsia"/>
          <w:sz w:val="32"/>
          <w:szCs w:val="32"/>
        </w:rPr>
        <w:t>，目前未参与任何社交平台账号的运营与活动。</w:t>
      </w:r>
    </w:p>
    <w:p w14:paraId="77652895" w14:textId="77777777" w:rsidR="00721E4D" w:rsidRDefault="007173D1">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themeColor="background1"/>
          <w:sz w:val="32"/>
          <w:szCs w:val="32"/>
          <w:highlight w:val="red"/>
        </w:rPr>
        <w:t>IRN.red</w:t>
      </w:r>
    </w:p>
    <w:p w14:paraId="7ED2D2AA" w14:textId="77777777" w:rsidR="00721E4D" w:rsidRDefault="00721E4D">
      <w:pPr>
        <w:spacing w:line="360" w:lineRule="auto"/>
        <w:ind w:firstLine="643"/>
        <w:rPr>
          <w:rFonts w:ascii="Times New Roman" w:eastAsia="仿宋" w:hAnsi="Times New Roman" w:cs="Times New Roman"/>
          <w:b/>
          <w:sz w:val="32"/>
          <w:szCs w:val="32"/>
        </w:rPr>
      </w:pPr>
    </w:p>
    <w:p w14:paraId="78E8B904" w14:textId="77777777" w:rsidR="00721E4D" w:rsidRDefault="007173D1">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130ED900" w14:textId="77777777" w:rsidR="00721E4D" w:rsidRDefault="007173D1">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3BA782EE" w14:textId="77777777" w:rsidR="00721E4D" w:rsidRDefault="007173D1">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2456CB90" w14:textId="77777777" w:rsidR="00721E4D" w:rsidRDefault="007173D1">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16817BE2" wp14:editId="007A569C">
            <wp:extent cx="1355725" cy="1355725"/>
            <wp:effectExtent l="0" t="0" r="0" b="0"/>
            <wp:docPr id="1027" name="图片 15"/>
            <wp:cNvGraphicFramePr/>
            <a:graphic xmlns:a="http://schemas.openxmlformats.org/drawingml/2006/main">
              <a:graphicData uri="http://schemas.openxmlformats.org/drawingml/2006/picture">
                <pic:pic xmlns:pic="http://schemas.openxmlformats.org/drawingml/2006/picture">
                  <pic:nvPicPr>
                    <pic:cNvPr id="1027" name="图片 15"/>
                    <pic:cNvPicPr/>
                  </pic:nvPicPr>
                  <pic:blipFill>
                    <a:blip r:embed="rId8" cstate="print"/>
                    <a:srcRect/>
                    <a:stretch>
                      <a:fillRect/>
                    </a:stretch>
                  </pic:blipFill>
                  <pic:spPr>
                    <a:xfrm>
                      <a:off x="0" y="0"/>
                      <a:ext cx="1355834" cy="1355834"/>
                    </a:xfrm>
                    <a:prstGeom prst="rect">
                      <a:avLst/>
                    </a:prstGeom>
                    <a:ln>
                      <a:noFill/>
                    </a:ln>
                  </pic:spPr>
                </pic:pic>
              </a:graphicData>
            </a:graphic>
          </wp:inline>
        </w:drawing>
      </w:r>
    </w:p>
    <w:p w14:paraId="30CC2AC1" w14:textId="77777777" w:rsidR="00721E4D" w:rsidRDefault="007173D1">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239106FB" w14:textId="77777777" w:rsidR="00721E4D" w:rsidRDefault="007173D1">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0DC58EFF" w14:textId="77777777" w:rsidR="00721E4D" w:rsidRDefault="007173D1">
      <w:pPr>
        <w:spacing w:line="360" w:lineRule="auto"/>
        <w:ind w:firstLine="560"/>
        <w:rPr>
          <w:rFonts w:ascii="仿宋" w:eastAsia="仿宋" w:hAnsi="仿宋" w:cs="Times New Roman" w:hint="eastAsia"/>
          <w:bCs/>
          <w:sz w:val="32"/>
          <w:szCs w:val="32"/>
          <w:u w:val="single"/>
        </w:rPr>
      </w:pPr>
      <w:hyperlink r:id="rId9" w:history="1">
        <w:r>
          <w:rPr>
            <w:rFonts w:ascii="仿宋" w:eastAsia="仿宋" w:hAnsi="仿宋"/>
            <w:bCs/>
            <w:sz w:val="32"/>
            <w:szCs w:val="32"/>
            <w:u w:val="single"/>
          </w:rPr>
          <w:t>https://cloud.seatable.cn/dtable/forms/ff203a21-e739-4321-bb63-3d9665873695/</w:t>
        </w:r>
      </w:hyperlink>
    </w:p>
    <w:p w14:paraId="62B9506F" w14:textId="3E03AD70" w:rsidR="0056794C" w:rsidRDefault="007173D1">
      <w:pPr>
        <w:spacing w:line="360" w:lineRule="auto"/>
        <w:ind w:firstLine="640"/>
        <w:rPr>
          <w:rStyle w:val="afd"/>
          <w:rFonts w:ascii="仿宋" w:eastAsia="仿宋" w:hAnsi="仿宋" w:cs="Times New Roman" w:hint="eastAsia"/>
          <w:color w:val="auto"/>
          <w:sz w:val="32"/>
          <w:szCs w:val="32"/>
          <w:u w:val="none"/>
        </w:rPr>
        <w:sectPr w:rsidR="0056794C">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0318" w:h="14570"/>
          <w:pgMar w:top="1440" w:right="1080" w:bottom="1440" w:left="1080" w:header="851" w:footer="992" w:gutter="0"/>
          <w:pgNumType w:fmt="numberInDash" w:start="1"/>
          <w:cols w:space="425"/>
          <w:docGrid w:type="lines" w:linePitch="312"/>
        </w:sectPr>
      </w:pPr>
      <w:r>
        <w:rPr>
          <w:rStyle w:val="afd"/>
          <w:rFonts w:ascii="仿宋" w:eastAsia="仿宋" w:hAnsi="仿宋" w:cs="Times New Roman"/>
          <w:color w:val="auto"/>
          <w:sz w:val="32"/>
          <w:szCs w:val="32"/>
          <w:u w:val="none"/>
        </w:rPr>
        <w:t>3.用您的邮箱发送“订阅”至irn3000@outlook.com</w:t>
      </w:r>
    </w:p>
    <w:p w14:paraId="6F0B8EDF" w14:textId="137E58BD" w:rsidR="00721E4D" w:rsidRDefault="00ED0210">
      <w:pPr>
        <w:spacing w:line="360" w:lineRule="auto"/>
        <w:ind w:firstLine="640"/>
        <w:rPr>
          <w:rStyle w:val="afd"/>
          <w:rFonts w:ascii="Times New Roman" w:eastAsia="仿宋" w:hAnsi="Times New Roman" w:cs="Times New Roman"/>
          <w:color w:val="auto"/>
          <w:sz w:val="32"/>
          <w:szCs w:val="32"/>
          <w:u w:val="none"/>
        </w:rPr>
      </w:pPr>
      <w:r>
        <w:rPr>
          <w:rFonts w:ascii="Times New Roman" w:eastAsia="仿宋" w:hAnsi="Times New Roman" w:cs="Times New Roman"/>
          <w:noProof/>
          <w:sz w:val="32"/>
          <w:szCs w:val="32"/>
        </w:rPr>
        <w:lastRenderedPageBreak/>
        <w:drawing>
          <wp:anchor distT="0" distB="0" distL="114300" distR="114300" simplePos="0" relativeHeight="251657216" behindDoc="0" locked="0" layoutInCell="1" allowOverlap="1" wp14:anchorId="0B06C5B8" wp14:editId="74872D1F">
            <wp:simplePos x="0" y="0"/>
            <wp:positionH relativeFrom="column">
              <wp:posOffset>-926465</wp:posOffset>
            </wp:positionH>
            <wp:positionV relativeFrom="paragraph">
              <wp:posOffset>-705295</wp:posOffset>
            </wp:positionV>
            <wp:extent cx="9287510" cy="6003290"/>
            <wp:effectExtent l="0" t="0" r="0" b="0"/>
            <wp:wrapNone/>
            <wp:docPr id="10136607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60769" name="图片 1013660769"/>
                    <pic:cNvPicPr/>
                  </pic:nvPicPr>
                  <pic:blipFill>
                    <a:blip r:embed="rId16">
                      <a:extLst>
                        <a:ext uri="{28A0092B-C50C-407E-A947-70E740481C1C}">
                          <a14:useLocalDpi xmlns:a14="http://schemas.microsoft.com/office/drawing/2010/main" val="0"/>
                        </a:ext>
                      </a:extLst>
                    </a:blip>
                    <a:stretch>
                      <a:fillRect/>
                    </a:stretch>
                  </pic:blipFill>
                  <pic:spPr>
                    <a:xfrm>
                      <a:off x="0" y="0"/>
                      <a:ext cx="9287510" cy="6003290"/>
                    </a:xfrm>
                    <a:prstGeom prst="rect">
                      <a:avLst/>
                    </a:prstGeom>
                  </pic:spPr>
                </pic:pic>
              </a:graphicData>
            </a:graphic>
            <wp14:sizeRelH relativeFrom="page">
              <wp14:pctWidth>0</wp14:pctWidth>
            </wp14:sizeRelH>
            <wp14:sizeRelV relativeFrom="page">
              <wp14:pctHeight>0</wp14:pctHeight>
            </wp14:sizeRelV>
          </wp:anchor>
        </w:drawing>
      </w:r>
    </w:p>
    <w:p w14:paraId="2974F0BB" w14:textId="77777777" w:rsidR="00721E4D" w:rsidRPr="0054034C" w:rsidRDefault="00721E4D">
      <w:pPr>
        <w:spacing w:line="360" w:lineRule="auto"/>
        <w:ind w:firstLineChars="300" w:firstLine="960"/>
        <w:rPr>
          <w:rStyle w:val="afd"/>
          <w:rFonts w:ascii="Times New Roman" w:eastAsia="仿宋" w:hAnsi="Times New Roman" w:cs="Times New Roman"/>
          <w:color w:val="auto"/>
          <w:sz w:val="32"/>
          <w:szCs w:val="32"/>
          <w:u w:val="none"/>
        </w:rPr>
        <w:sectPr w:rsidR="00721E4D" w:rsidRPr="0054034C" w:rsidSect="0056794C">
          <w:footnotePr>
            <w:numRestart w:val="eachSect"/>
          </w:footnotePr>
          <w:pgSz w:w="14572" w:h="9412" w:orient="landscape"/>
          <w:pgMar w:top="1077" w:right="1440" w:bottom="1077" w:left="1440" w:header="851" w:footer="992" w:gutter="0"/>
          <w:pgNumType w:fmt="numberInDash" w:start="1"/>
          <w:cols w:space="425"/>
          <w:docGrid w:type="lines" w:linePitch="381"/>
        </w:sectPr>
      </w:pPr>
    </w:p>
    <w:p w14:paraId="0644092F" w14:textId="77777777" w:rsidR="00721E4D" w:rsidRDefault="007173D1">
      <w:pPr>
        <w:pStyle w:val="1"/>
        <w:rPr>
          <w:rFonts w:ascii="黑体" w:eastAsia="黑体" w:hAnsi="黑体" w:hint="eastAsia"/>
          <w:szCs w:val="36"/>
        </w:rPr>
      </w:pPr>
      <w:bookmarkStart w:id="1" w:name="_Toc185968493"/>
      <w:bookmarkStart w:id="2" w:name="_Hlk110724951"/>
      <w:bookmarkStart w:id="3" w:name="_Hlk105347307"/>
      <w:bookmarkStart w:id="4" w:name="_Hlk114943609"/>
      <w:bookmarkStart w:id="5" w:name="_Hlk120642218"/>
      <w:bookmarkStart w:id="6" w:name="_Hlk118638770"/>
      <w:bookmarkEnd w:id="0"/>
      <w:r>
        <w:rPr>
          <w:rFonts w:ascii="黑体" w:eastAsia="黑体" w:hAnsi="黑体" w:hint="eastAsia"/>
          <w:szCs w:val="36"/>
        </w:rPr>
        <w:lastRenderedPageBreak/>
        <w:t>巴勒斯坦共产党关于叙利亚局势的声明</w:t>
      </w:r>
      <w:bookmarkEnd w:id="1"/>
    </w:p>
    <w:p w14:paraId="7B20FBFB" w14:textId="77777777" w:rsidR="00721E4D" w:rsidRDefault="007173D1">
      <w:pPr>
        <w:ind w:firstLineChars="0" w:firstLine="0"/>
        <w:jc w:val="center"/>
      </w:pPr>
      <w:r>
        <w:rPr>
          <w:rFonts w:hint="eastAsia"/>
          <w:noProof/>
        </w:rPr>
        <w:drawing>
          <wp:inline distT="0" distB="0" distL="0" distR="0" wp14:anchorId="7059596A" wp14:editId="1B3B4278">
            <wp:extent cx="3780000" cy="2520191"/>
            <wp:effectExtent l="0" t="0" r="0" b="0"/>
            <wp:docPr id="1313838728" name="图片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38728" name="图片 1"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780000" cy="2520191"/>
                    </a:xfrm>
                    <a:prstGeom prst="rect">
                      <a:avLst/>
                    </a:prstGeom>
                    <a:noFill/>
                    <a:ln>
                      <a:noFill/>
                    </a:ln>
                  </pic:spPr>
                </pic:pic>
              </a:graphicData>
            </a:graphic>
          </wp:inline>
        </w:drawing>
      </w:r>
    </w:p>
    <w:p w14:paraId="3B6FB6F5" w14:textId="77777777" w:rsidR="00721E4D" w:rsidRDefault="007173D1">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SolidNet</w:t>
      </w:r>
      <w:r>
        <w:rPr>
          <w:rFonts w:ascii="Times New Roman" w:eastAsia="仿宋" w:hAnsi="Times New Roman" w:cs="Times New Roman" w:hint="eastAsia"/>
          <w:szCs w:val="28"/>
        </w:rPr>
        <w:t>）</w:t>
      </w:r>
    </w:p>
    <w:p w14:paraId="47CAA8B3" w14:textId="77777777" w:rsidR="00721E4D" w:rsidRDefault="007173D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12</w:t>
      </w:r>
      <w:r>
        <w:rPr>
          <w:rFonts w:ascii="Times New Roman" w:eastAsia="仿宋" w:hAnsi="Times New Roman" w:cs="Times New Roman"/>
          <w:szCs w:val="28"/>
        </w:rPr>
        <w:t>月</w:t>
      </w:r>
      <w:r>
        <w:rPr>
          <w:rFonts w:ascii="Times New Roman" w:eastAsia="仿宋" w:hAnsi="Times New Roman" w:cs="Times New Roman" w:hint="eastAsia"/>
          <w:szCs w:val="28"/>
        </w:rPr>
        <w:t>12</w:t>
      </w:r>
      <w:r>
        <w:rPr>
          <w:rFonts w:ascii="Times New Roman" w:eastAsia="仿宋" w:hAnsi="Times New Roman" w:cs="Times New Roman" w:hint="eastAsia"/>
          <w:szCs w:val="28"/>
        </w:rPr>
        <w:t>日</w:t>
      </w:r>
    </w:p>
    <w:p w14:paraId="44B6B0BF" w14:textId="77777777" w:rsidR="00721E4D" w:rsidRDefault="007173D1">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bookmarkStart w:id="7" w:name="OLE_LINK3"/>
      <w:r>
        <w:rPr>
          <w:rStyle w:val="afd"/>
          <w:rFonts w:ascii="Times New Roman" w:eastAsia="仿宋" w:hAnsi="Times New Roman" w:cs="Times New Roman"/>
          <w:szCs w:val="28"/>
        </w:rPr>
        <w:fldChar w:fldCharType="begin"/>
      </w:r>
      <w:r>
        <w:rPr>
          <w:rStyle w:val="afd"/>
          <w:rFonts w:ascii="Times New Roman" w:eastAsia="仿宋" w:hAnsi="Times New Roman" w:cs="Times New Roman"/>
          <w:szCs w:val="28"/>
        </w:rPr>
        <w:instrText>HYPERLINK "http://solidnet.org/article/Palestinian-CP-Statement-Issued-by-the-Palestinian-Communist-Party-on-the-Situation-in-Syria/"</w:instrText>
      </w:r>
      <w:r>
        <w:rPr>
          <w:rStyle w:val="afd"/>
          <w:rFonts w:ascii="Times New Roman" w:eastAsia="仿宋" w:hAnsi="Times New Roman" w:cs="Times New Roman"/>
          <w:szCs w:val="28"/>
        </w:rPr>
      </w:r>
      <w:r>
        <w:rPr>
          <w:rStyle w:val="afd"/>
          <w:rFonts w:ascii="Times New Roman" w:eastAsia="仿宋" w:hAnsi="Times New Roman" w:cs="Times New Roman"/>
          <w:szCs w:val="28"/>
        </w:rPr>
        <w:fldChar w:fldCharType="separate"/>
      </w:r>
      <w:r>
        <w:rPr>
          <w:rStyle w:val="afd"/>
          <w:rFonts w:ascii="Times New Roman" w:eastAsia="仿宋" w:hAnsi="Times New Roman" w:cs="Times New Roman"/>
          <w:szCs w:val="28"/>
        </w:rPr>
        <w:t>http://solidnet.org/article/Palestinian-CP-Statement-Issued-by-the-Palestinian-Communist-Party-on-the-Situation-in-Syria/</w:t>
      </w:r>
      <w:r>
        <w:rPr>
          <w:rStyle w:val="afd"/>
          <w:rFonts w:ascii="Times New Roman" w:eastAsia="仿宋" w:hAnsi="Times New Roman" w:cs="Times New Roman"/>
          <w:szCs w:val="28"/>
        </w:rPr>
        <w:fldChar w:fldCharType="end"/>
      </w:r>
      <w:bookmarkEnd w:id="7"/>
    </w:p>
    <w:p w14:paraId="2FA7616F"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在极端主义武装组织于12月8日夺权后，叙利亚出现了严重的事态发展。这是一场将叙利亚人民的苦难与外国势力的干涉交织在一起的复杂悲剧，外国势力试图以牺牲叙利亚的统一、稳定和资源为代价来促进它们的利益。在此背景下，我们重申声援叙利亚人民及其进步力量，并强烈谴责帝国主义和犹太复国主义旨在分裂和削弱叙利亚的干涉活动。我们还谴责土耳其穆斯林兄弟会（Turkish Muslim Brotherhood）的干涉，这一干涉充当了北约为恐怖组织在叙利亚夺权提供支持的先锋和毒手。</w:t>
      </w:r>
    </w:p>
    <w:p w14:paraId="4351B531"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lastRenderedPageBreak/>
        <w:t>土耳其在美帝国主义的庇护下进行干涉，并伪装成是在支持反对派。土耳其利用地区混乱来推进新奥斯曼计划的扩张主义野心昭然若揭。通过支持与穆斯林兄弟会意识形态有关的武装派别，土耳其试图强制推行符合其地区利益的政治和安全议程，而不顾叙利亚人民的福祉和苦难。</w:t>
      </w:r>
    </w:p>
    <w:p w14:paraId="30A0F8C9"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同时，叙利亚政权未能认清威胁该国的主要风险，只是依靠个人主义的方式来应对这些风险，而不是让民族的、进步的力量参与进来，因而对这一失败负有重大责任。它也未能有效地动员人民应对危及国家未来和稳定的内外挑战。</w:t>
      </w:r>
    </w:p>
    <w:p w14:paraId="2A7504A6" w14:textId="6EE77735"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叙利亚首都大马士革以如此可疑的方式陷落，进一步揭示了帝国主义为争夺全球和地区势力范围的斗争。俄罗斯暧昧而可疑的立场表明，正在崛起的、寻求在世界上占有一定份额的俄帝国主义与美帝国主义之间可能存在</w:t>
      </w:r>
      <w:r w:rsidR="00444BDF">
        <w:rPr>
          <w:rFonts w:ascii="宋体" w:hAnsi="宋体" w:hint="eastAsia"/>
          <w:sz w:val="32"/>
          <w:szCs w:val="32"/>
        </w:rPr>
        <w:t>某种</w:t>
      </w:r>
      <w:r>
        <w:rPr>
          <w:rFonts w:ascii="宋体" w:hAnsi="宋体" w:hint="eastAsia"/>
          <w:sz w:val="32"/>
          <w:szCs w:val="32"/>
        </w:rPr>
        <w:t>交易。帝国主义再次瓜分领土的行径，总是首先冲击着被压迫的、被边缘化的人民，而叙利亚人民为帝国主义利益的交汇付出了代价。</w:t>
      </w:r>
    </w:p>
    <w:p w14:paraId="66400EAC"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这证实了巴勒斯坦共产党（Palestinian Communist Party）的观点：普京政权不能与苏联相提并论。世界和本地区的许多共产党与俄罗斯资本主义政权的反共立场结盟，特别是在乌克兰危机中。</w:t>
      </w:r>
    </w:p>
    <w:p w14:paraId="427FC96E"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我们认为，叙利亚落入西方帝国主义和全球犹太复国主义支持的武装组织之手，将对整个地区产生深远影响。</w:t>
      </w:r>
      <w:r>
        <w:rPr>
          <w:rFonts w:ascii="宋体" w:hAnsi="宋体" w:hint="eastAsia"/>
          <w:sz w:val="32"/>
          <w:szCs w:val="32"/>
        </w:rPr>
        <w:lastRenderedPageBreak/>
        <w:t>分裂的幽灵比以往任何时候都更加逼近叙利亚。犹太复国主义实体拆毁了叙利亚军队及其军火库，暗杀叙利亚科学家，并开始深入叙利亚领土，占领各个地区，有时甚至到达了大马士革郊区。这一切都是在极端主义组织和反动组织的监视下发生的，这些组织对此并不采取任何行动。</w:t>
      </w:r>
    </w:p>
    <w:p w14:paraId="3B5F5ED9"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此外，分裂的威胁正在逐渐扩大到伊拉克和黎巴嫩，并可能吞没整个地区。这与“新中东”计划一致。“新中东”计划试图破坏该地区的民族国家，加深分裂和弱点，破坏地区稳定，使该地区屈服于帝国主义和犹太复国主义势力的利益。</w:t>
      </w:r>
    </w:p>
    <w:p w14:paraId="54C67529" w14:textId="7305BBBB"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巴勒斯坦共产党拒绝一切形式的外国干涉，无论是帝国主义、犹太复国主义还是土耳其穆斯林兄弟会。巴勒斯坦共产党呼吁优先考虑维护叙利亚统一与独立的国家解决方案。真正的解决办法掌握在自由的叙利亚人手中</w:t>
      </w:r>
      <w:r w:rsidR="00444BDF">
        <w:rPr>
          <w:rFonts w:ascii="宋体" w:hAnsi="宋体" w:hint="eastAsia"/>
          <w:sz w:val="32"/>
          <w:szCs w:val="32"/>
        </w:rPr>
        <w:t>，那就是</w:t>
      </w:r>
      <w:r>
        <w:rPr>
          <w:rFonts w:ascii="宋体" w:hAnsi="宋体" w:hint="eastAsia"/>
          <w:sz w:val="32"/>
          <w:szCs w:val="32"/>
        </w:rPr>
        <w:t>包括该国所有政党</w:t>
      </w:r>
      <w:r w:rsidR="00444BDF">
        <w:rPr>
          <w:rFonts w:ascii="宋体" w:hAnsi="宋体" w:hint="eastAsia"/>
          <w:sz w:val="32"/>
          <w:szCs w:val="32"/>
        </w:rPr>
        <w:t>在内的</w:t>
      </w:r>
      <w:r>
        <w:rPr>
          <w:rFonts w:ascii="宋体" w:hAnsi="宋体" w:hint="eastAsia"/>
          <w:sz w:val="32"/>
          <w:szCs w:val="32"/>
        </w:rPr>
        <w:t>、不受外部命令影响的包容性对话。</w:t>
      </w:r>
    </w:p>
    <w:p w14:paraId="5C8986ED"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我们还向叙利亚的共产主义者和进步力量致以声援，他们肩负着挫败帝国主义和犹太复国主义针对叙利亚和更广泛的阿拉伯地区的阴谋的重担。我们呼吁全世界和本地区的马列主义共产党，谴责发生在叙利亚的事态发展，支持正站在风暴中心的叙利亚共产主义者。</w:t>
      </w:r>
    </w:p>
    <w:p w14:paraId="230A148E" w14:textId="77777777" w:rsidR="00721E4D" w:rsidRDefault="00721E4D">
      <w:pPr>
        <w:spacing w:before="60" w:after="60" w:line="480" w:lineRule="exact"/>
        <w:ind w:firstLine="640"/>
        <w:rPr>
          <w:rFonts w:ascii="宋体" w:hAnsi="宋体" w:hint="eastAsia"/>
          <w:sz w:val="32"/>
          <w:szCs w:val="32"/>
        </w:rPr>
      </w:pPr>
    </w:p>
    <w:p w14:paraId="54C358FC" w14:textId="77777777" w:rsidR="00721E4D" w:rsidRDefault="007173D1">
      <w:pPr>
        <w:spacing w:before="60" w:after="60" w:line="480" w:lineRule="exact"/>
        <w:ind w:firstLine="640"/>
        <w:jc w:val="right"/>
        <w:rPr>
          <w:rFonts w:ascii="宋体" w:hAnsi="宋体" w:hint="eastAsia"/>
          <w:sz w:val="32"/>
          <w:szCs w:val="32"/>
        </w:rPr>
      </w:pPr>
      <w:r>
        <w:rPr>
          <w:rFonts w:ascii="宋体" w:hAnsi="宋体" w:hint="eastAsia"/>
          <w:sz w:val="32"/>
          <w:szCs w:val="32"/>
        </w:rPr>
        <w:t>巴勒斯坦共产党</w:t>
      </w:r>
      <w:r>
        <w:rPr>
          <w:rFonts w:ascii="宋体" w:hAnsi="宋体"/>
          <w:sz w:val="32"/>
          <w:szCs w:val="32"/>
        </w:rPr>
        <w:br w:type="page"/>
      </w:r>
    </w:p>
    <w:p w14:paraId="6539ADBC" w14:textId="77777777" w:rsidR="00721E4D" w:rsidRDefault="007173D1">
      <w:pPr>
        <w:pStyle w:val="1"/>
        <w:rPr>
          <w:rFonts w:ascii="黑体" w:eastAsia="黑体" w:hAnsi="黑体" w:hint="eastAsia"/>
          <w:szCs w:val="36"/>
        </w:rPr>
      </w:pPr>
      <w:bookmarkStart w:id="8" w:name="_Toc185968494"/>
      <w:r>
        <w:rPr>
          <w:rFonts w:ascii="黑体" w:eastAsia="黑体" w:hAnsi="黑体" w:hint="eastAsia"/>
          <w:szCs w:val="36"/>
        </w:rPr>
        <w:lastRenderedPageBreak/>
        <w:t>阿拉伯国家共产党声援叙利亚人民的联合声明</w:t>
      </w:r>
      <w:bookmarkEnd w:id="8"/>
    </w:p>
    <w:p w14:paraId="70CAFE9A" w14:textId="77777777" w:rsidR="00721E4D" w:rsidRDefault="007173D1">
      <w:pPr>
        <w:ind w:firstLineChars="0" w:firstLine="0"/>
        <w:jc w:val="center"/>
      </w:pPr>
      <w:r>
        <w:rPr>
          <w:rFonts w:hint="eastAsia"/>
          <w:noProof/>
        </w:rPr>
        <w:drawing>
          <wp:inline distT="0" distB="0" distL="0" distR="0" wp14:anchorId="4EA445B8" wp14:editId="0F1375F8">
            <wp:extent cx="5147945" cy="2895600"/>
            <wp:effectExtent l="0" t="0" r="0" b="0"/>
            <wp:docPr id="16326258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25873"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148000" cy="2896223"/>
                    </a:xfrm>
                    <a:prstGeom prst="rect">
                      <a:avLst/>
                    </a:prstGeom>
                    <a:noFill/>
                    <a:ln>
                      <a:noFill/>
                    </a:ln>
                  </pic:spPr>
                </pic:pic>
              </a:graphicData>
            </a:graphic>
          </wp:inline>
        </w:drawing>
      </w:r>
    </w:p>
    <w:p w14:paraId="36965D12" w14:textId="77777777" w:rsidR="00721E4D" w:rsidRDefault="007173D1">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SolidNet</w:t>
      </w:r>
      <w:r>
        <w:rPr>
          <w:rFonts w:ascii="Times New Roman" w:eastAsia="仿宋" w:hAnsi="Times New Roman" w:cs="Times New Roman" w:hint="eastAsia"/>
          <w:szCs w:val="28"/>
        </w:rPr>
        <w:t>）</w:t>
      </w:r>
    </w:p>
    <w:p w14:paraId="417D5095" w14:textId="77777777" w:rsidR="00721E4D" w:rsidRDefault="007173D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12</w:t>
      </w:r>
      <w:r>
        <w:rPr>
          <w:rFonts w:ascii="Times New Roman" w:eastAsia="仿宋" w:hAnsi="Times New Roman" w:cs="Times New Roman"/>
          <w:szCs w:val="28"/>
        </w:rPr>
        <w:t>月</w:t>
      </w:r>
      <w:r>
        <w:rPr>
          <w:rFonts w:ascii="Times New Roman" w:eastAsia="仿宋" w:hAnsi="Times New Roman" w:cs="Times New Roman" w:hint="eastAsia"/>
          <w:szCs w:val="28"/>
        </w:rPr>
        <w:t>13</w:t>
      </w:r>
      <w:r>
        <w:rPr>
          <w:rFonts w:ascii="Times New Roman" w:eastAsia="仿宋" w:hAnsi="Times New Roman" w:cs="Times New Roman" w:hint="eastAsia"/>
          <w:szCs w:val="28"/>
        </w:rPr>
        <w:t>日</w:t>
      </w:r>
    </w:p>
    <w:p w14:paraId="7F89442F" w14:textId="77777777" w:rsidR="00721E4D" w:rsidRDefault="007173D1">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hint="eastAsia"/>
          <w:szCs w:val="28"/>
        </w:rPr>
        <w:t>链</w:t>
      </w:r>
      <w:r>
        <w:rPr>
          <w:rFonts w:ascii="Times New Roman" w:eastAsia="仿宋" w:hAnsi="Times New Roman" w:cs="Times New Roman"/>
          <w:szCs w:val="28"/>
        </w:rPr>
        <w:t>接</w:t>
      </w:r>
      <w:r>
        <w:rPr>
          <w:rFonts w:ascii="Times New Roman" w:eastAsia="仿宋" w:hAnsi="Times New Roman" w:cs="Times New Roman" w:hint="eastAsia"/>
          <w:szCs w:val="28"/>
        </w:rPr>
        <w:t>：</w:t>
      </w:r>
      <w:hyperlink r:id="rId19" w:history="1">
        <w:r>
          <w:rPr>
            <w:rStyle w:val="afd"/>
            <w:rFonts w:ascii="Times New Roman" w:eastAsia="仿宋" w:hAnsi="Times New Roman" w:cs="Times New Roman"/>
            <w:szCs w:val="28"/>
          </w:rPr>
          <w:t>http://solidnet.org/article/Iraqi-CP-Joint-statement-of-the-Communist-Parties-in-the-Arab-Countries-Solidarity-with-the-Syrian-people-against-the-brutal-Israeli-aggression/</w:t>
        </w:r>
      </w:hyperlink>
    </w:p>
    <w:p w14:paraId="5009BA08" w14:textId="77777777" w:rsidR="00721E4D" w:rsidRDefault="007173D1">
      <w:pPr>
        <w:spacing w:before="60" w:after="60" w:line="480" w:lineRule="exact"/>
        <w:ind w:firstLineChars="0" w:firstLine="0"/>
        <w:jc w:val="center"/>
        <w:rPr>
          <w:rFonts w:ascii="黑体" w:eastAsia="黑体" w:hAnsi="黑体" w:hint="eastAsia"/>
          <w:sz w:val="32"/>
          <w:szCs w:val="32"/>
        </w:rPr>
      </w:pPr>
      <w:bookmarkStart w:id="9" w:name="_Hlk152421804"/>
      <w:r>
        <w:rPr>
          <w:rFonts w:ascii="黑体" w:eastAsia="黑体" w:hAnsi="黑体" w:hint="eastAsia"/>
          <w:sz w:val="32"/>
          <w:szCs w:val="32"/>
        </w:rPr>
        <w:t>阿拉伯国家共产党联合声明</w:t>
      </w:r>
    </w:p>
    <w:p w14:paraId="2032A198" w14:textId="77777777" w:rsidR="00721E4D" w:rsidRDefault="007173D1">
      <w:pPr>
        <w:spacing w:before="60" w:after="60" w:line="480" w:lineRule="exact"/>
        <w:ind w:firstLineChars="0" w:firstLine="0"/>
        <w:jc w:val="center"/>
        <w:rPr>
          <w:rFonts w:ascii="黑体" w:eastAsia="黑体" w:hAnsi="黑体" w:hint="eastAsia"/>
          <w:sz w:val="32"/>
          <w:szCs w:val="32"/>
        </w:rPr>
      </w:pPr>
      <w:r>
        <w:rPr>
          <w:rFonts w:ascii="黑体" w:eastAsia="黑体" w:hAnsi="黑体" w:hint="eastAsia"/>
          <w:sz w:val="32"/>
          <w:szCs w:val="32"/>
        </w:rPr>
        <w:t>声援面临以色列野蛮侵略的叙利亚人民</w:t>
      </w:r>
    </w:p>
    <w:p w14:paraId="516E1225"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叙利亚面临的威胁日益增加：以色列对叙利亚全国数十个军事地点发动的侵略性袭击严重地升级了；以色列部队违反1974年的停火协议，侵入了被占领的戈兰高地附近，并宣布它打算控制广大边境地区。它利用了当地极其困难和复杂的条件，特别是叙利亚人民所面临的生活和经济方</w:t>
      </w:r>
      <w:r>
        <w:rPr>
          <w:rFonts w:ascii="宋体" w:hAnsi="宋体" w:hint="eastAsia"/>
          <w:sz w:val="32"/>
          <w:szCs w:val="32"/>
        </w:rPr>
        <w:lastRenderedPageBreak/>
        <w:t>面的条件。</w:t>
      </w:r>
    </w:p>
    <w:p w14:paraId="06BAEBB0"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在阿拉伯地区和国际层面的可耻沉默中，在叙利亚夺权者的沉默中，这种持续侵略以打击和摧毁叙利亚的防御能力、军事能力和相关基础设施为目的，以便从战略上将叙利亚从反对犹太复国主义占领与恐怖主义的战场上清理出去。除了在叙利亚塑造新的政治现实方面发挥积极作用外，它的目的还包括强制推行事实上的（与以色列关系）“正常化”。这是在公然的外国干涉下，在美国及其地区盟友的支持下，在侵略性的北约的鼓励下发生的；其目的是粉碎巴勒斯坦人民的事业，实施帝国主义计划以支配该地区及其人民，并强制推行所谓的“新中东”计划。</w:t>
      </w:r>
    </w:p>
    <w:p w14:paraId="4BF07509"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面对这些威胁叙利亚的重大挑战、严重危险和犹太复国主义扩张计划，叙利亚的民族力量、民主力量必须团结起来，对抗、抵抗和挫败这一野蛮侵略。在强调叙利亚人民有权抵抗犹太复国主义占领的同时，我们呼吁本地区和全世界的共产党和一切左翼、进步、民主和解放力量，加强与叙利亚人民的团结，使他们能够行使自主决定本国事务、在不受外国干涉的情况下做出自由选择的权利。</w:t>
      </w:r>
    </w:p>
    <w:p w14:paraId="62C6B9A7"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我们重申支持叙利亚人民为建立基于公民原则的多元、民主和公民的政府体制而斗争，以实现自由、社会公正、国家重建、经济发展和恢复国家主权。这一点必须与下列要求一并实行：所有军队和国家尊重叙利亚的主权、领土完整和独立，联合国必须迫使以色列执行1974年停火协议，</w:t>
      </w:r>
      <w:r>
        <w:rPr>
          <w:rFonts w:ascii="宋体" w:hAnsi="宋体" w:hint="eastAsia"/>
          <w:sz w:val="32"/>
          <w:szCs w:val="32"/>
        </w:rPr>
        <w:lastRenderedPageBreak/>
        <w:t>阻止以色列对叙利亚的侵略并立即撤出军队。</w:t>
      </w:r>
    </w:p>
    <w:p w14:paraId="7CCD1E45" w14:textId="23367C6D"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如果不能结束犹太复</w:t>
      </w:r>
      <w:r w:rsidR="00444BDF">
        <w:rPr>
          <w:rFonts w:ascii="宋体" w:hAnsi="宋体" w:hint="eastAsia"/>
          <w:sz w:val="32"/>
          <w:szCs w:val="32"/>
        </w:rPr>
        <w:t>国</w:t>
      </w:r>
      <w:r>
        <w:rPr>
          <w:rFonts w:ascii="宋体" w:hAnsi="宋体" w:hint="eastAsia"/>
          <w:sz w:val="32"/>
          <w:szCs w:val="32"/>
        </w:rPr>
        <w:t>主义占领和恐怖主义及其扩张计划的野蛮行径，如果不能结束针对巴勒斯坦人民的种族灭绝，如果不能让巴勒斯坦人民决定自身命运并行使民族权利，如果以色列持续违反国际法而一直逍遥法外，如果不能停止以色列对黎巴嫩的袭击和对叙利亚的侵略，那么全世界特别是中东地区，就将暴露在威胁世界和平与人类未来的地区性、国际性冲突不断爆发的危险之下。</w:t>
      </w:r>
    </w:p>
    <w:p w14:paraId="640F3EC4" w14:textId="77777777" w:rsidR="00721E4D" w:rsidRDefault="00721E4D">
      <w:pPr>
        <w:spacing w:before="60" w:after="60" w:line="480" w:lineRule="exact"/>
        <w:ind w:firstLine="640"/>
        <w:rPr>
          <w:rFonts w:ascii="宋体" w:hAnsi="宋体" w:hint="eastAsia"/>
          <w:sz w:val="32"/>
          <w:szCs w:val="32"/>
        </w:rPr>
      </w:pPr>
    </w:p>
    <w:p w14:paraId="37E7CF3A" w14:textId="77777777" w:rsidR="00721E4D" w:rsidRDefault="007173D1">
      <w:pPr>
        <w:spacing w:before="60" w:after="60" w:line="480" w:lineRule="exact"/>
        <w:ind w:firstLine="640"/>
        <w:jc w:val="right"/>
        <w:rPr>
          <w:rFonts w:ascii="宋体" w:hAnsi="宋体" w:hint="eastAsia"/>
          <w:sz w:val="32"/>
          <w:szCs w:val="32"/>
        </w:rPr>
      </w:pPr>
      <w:r>
        <w:rPr>
          <w:rFonts w:ascii="宋体" w:hAnsi="宋体" w:hint="eastAsia"/>
          <w:sz w:val="32"/>
          <w:szCs w:val="32"/>
        </w:rPr>
        <w:t>2024年12月13日</w:t>
      </w:r>
    </w:p>
    <w:p w14:paraId="5305BEBC" w14:textId="77777777" w:rsidR="00721E4D" w:rsidRDefault="00721E4D">
      <w:pPr>
        <w:spacing w:before="60" w:after="60" w:line="480" w:lineRule="exact"/>
        <w:ind w:firstLine="640"/>
        <w:rPr>
          <w:rFonts w:ascii="宋体" w:hAnsi="宋体" w:hint="eastAsia"/>
          <w:sz w:val="32"/>
          <w:szCs w:val="32"/>
        </w:rPr>
      </w:pPr>
    </w:p>
    <w:p w14:paraId="1E7303E5" w14:textId="77777777" w:rsidR="00721E4D" w:rsidRDefault="007173D1">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“团结网”党派：</w:t>
      </w:r>
    </w:p>
    <w:p w14:paraId="3D693A9D"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巴林民主进步论坛</w:t>
      </w:r>
    </w:p>
    <w:p w14:paraId="08FA6B63"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埃及共产党</w:t>
      </w:r>
    </w:p>
    <w:p w14:paraId="09F659FC"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伊拉克共产党</w:t>
      </w:r>
    </w:p>
    <w:p w14:paraId="4AE6C1AF"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约旦共产党</w:t>
      </w:r>
    </w:p>
    <w:p w14:paraId="11A125B4"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黎巴嫩共产党</w:t>
      </w:r>
    </w:p>
    <w:p w14:paraId="6E3016AC"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巴勒斯坦人民党</w:t>
      </w:r>
    </w:p>
    <w:p w14:paraId="45E2ABBC"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叙利亚共产党（统一）</w:t>
      </w:r>
    </w:p>
    <w:p w14:paraId="23E330D4" w14:textId="77777777" w:rsidR="00721E4D" w:rsidRDefault="007173D1">
      <w:pPr>
        <w:spacing w:before="60" w:after="60" w:line="480" w:lineRule="exact"/>
        <w:ind w:firstLine="640"/>
        <w:rPr>
          <w:rFonts w:ascii="仿宋" w:eastAsia="仿宋" w:hAnsi="仿宋" w:hint="eastAsia"/>
          <w:sz w:val="32"/>
          <w:szCs w:val="32"/>
        </w:rPr>
      </w:pPr>
      <w:r>
        <w:rPr>
          <w:rFonts w:ascii="仿宋" w:eastAsia="仿宋" w:hAnsi="仿宋" w:hint="eastAsia"/>
          <w:sz w:val="32"/>
          <w:szCs w:val="32"/>
        </w:rPr>
        <w:t>苏丹共产党</w:t>
      </w:r>
    </w:p>
    <w:p w14:paraId="5DD4ED36" w14:textId="77777777" w:rsidR="00721E4D" w:rsidRDefault="007173D1">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其他党派：</w:t>
      </w:r>
    </w:p>
    <w:p w14:paraId="4C9D134C" w14:textId="77777777" w:rsidR="00721E4D" w:rsidRDefault="007173D1">
      <w:pPr>
        <w:spacing w:before="60" w:after="60" w:line="480" w:lineRule="exact"/>
        <w:ind w:firstLine="640"/>
        <w:rPr>
          <w:rFonts w:ascii="黑体" w:eastAsia="黑体" w:hAnsi="黑体" w:hint="eastAsia"/>
          <w:b/>
          <w:kern w:val="44"/>
          <w:sz w:val="36"/>
          <w:szCs w:val="36"/>
        </w:rPr>
      </w:pPr>
      <w:r>
        <w:rPr>
          <w:rFonts w:ascii="仿宋" w:eastAsia="仿宋" w:hAnsi="仿宋" w:hint="eastAsia"/>
          <w:sz w:val="32"/>
          <w:szCs w:val="32"/>
        </w:rPr>
        <w:t>摩洛哥进步与社会主义党</w:t>
      </w:r>
      <w:bookmarkEnd w:id="9"/>
      <w:r>
        <w:rPr>
          <w:rFonts w:ascii="黑体" w:eastAsia="黑体" w:hAnsi="黑体"/>
          <w:szCs w:val="36"/>
        </w:rPr>
        <w:br w:type="page"/>
      </w:r>
    </w:p>
    <w:p w14:paraId="40FA2CEA" w14:textId="77777777" w:rsidR="00721E4D" w:rsidRDefault="007173D1">
      <w:pPr>
        <w:pStyle w:val="1"/>
        <w:rPr>
          <w:rFonts w:ascii="黑体" w:eastAsia="黑体" w:hAnsi="黑体" w:hint="eastAsia"/>
          <w:sz w:val="32"/>
          <w:szCs w:val="32"/>
        </w:rPr>
      </w:pPr>
      <w:bookmarkStart w:id="10" w:name="_Toc185968495"/>
      <w:r>
        <w:rPr>
          <w:rFonts w:ascii="黑体" w:eastAsia="黑体" w:hAnsi="黑体" w:hint="eastAsia"/>
          <w:szCs w:val="36"/>
        </w:rPr>
        <w:lastRenderedPageBreak/>
        <w:t>解放巴勒斯坦人民阵线纪念“阿克萨洪水”一周年</w:t>
      </w:r>
      <w:bookmarkEnd w:id="10"/>
    </w:p>
    <w:p w14:paraId="5899F2D6" w14:textId="77777777" w:rsidR="00721E4D" w:rsidRDefault="007173D1">
      <w:pPr>
        <w:ind w:firstLineChars="0" w:firstLine="0"/>
        <w:jc w:val="center"/>
      </w:pPr>
      <w:r>
        <w:rPr>
          <w:noProof/>
        </w:rPr>
        <w:drawing>
          <wp:inline distT="0" distB="0" distL="0" distR="0" wp14:anchorId="78A16190" wp14:editId="6228D389">
            <wp:extent cx="4319905" cy="6052185"/>
            <wp:effectExtent l="0" t="0" r="0" b="0"/>
            <wp:docPr id="14705942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94227"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20000" cy="6052443"/>
                    </a:xfrm>
                    <a:prstGeom prst="rect">
                      <a:avLst/>
                    </a:prstGeom>
                    <a:noFill/>
                    <a:ln>
                      <a:noFill/>
                    </a:ln>
                  </pic:spPr>
                </pic:pic>
              </a:graphicData>
            </a:graphic>
          </wp:inline>
        </w:drawing>
      </w:r>
    </w:p>
    <w:p w14:paraId="2505CFD0" w14:textId="77777777" w:rsidR="00721E4D" w:rsidRDefault="007173D1">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来源：解放巴勒斯坦人民阵线的社交账号</w:t>
      </w:r>
    </w:p>
    <w:p w14:paraId="6B0230C2" w14:textId="77777777" w:rsidR="00721E4D" w:rsidRDefault="007173D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szCs w:val="28"/>
        </w:rPr>
        <w:t>1</w:t>
      </w:r>
      <w:r>
        <w:rPr>
          <w:rFonts w:ascii="Times New Roman" w:eastAsia="仿宋" w:hAnsi="Times New Roman" w:cs="Times New Roman" w:hint="eastAsia"/>
          <w:szCs w:val="28"/>
        </w:rPr>
        <w:t>0</w:t>
      </w:r>
      <w:r>
        <w:rPr>
          <w:rFonts w:ascii="Times New Roman" w:eastAsia="仿宋" w:hAnsi="Times New Roman" w:cs="Times New Roman"/>
          <w:szCs w:val="28"/>
        </w:rPr>
        <w:t>月</w:t>
      </w:r>
      <w:r>
        <w:rPr>
          <w:rFonts w:ascii="Times New Roman" w:eastAsia="仿宋" w:hAnsi="Times New Roman" w:cs="Times New Roman" w:hint="eastAsia"/>
          <w:szCs w:val="28"/>
        </w:rPr>
        <w:t>7</w:t>
      </w:r>
      <w:r>
        <w:rPr>
          <w:rFonts w:ascii="Times New Roman" w:eastAsia="仿宋" w:hAnsi="Times New Roman" w:cs="Times New Roman" w:hint="eastAsia"/>
          <w:szCs w:val="28"/>
        </w:rPr>
        <w:t>日</w:t>
      </w:r>
    </w:p>
    <w:p w14:paraId="4E156648" w14:textId="77777777" w:rsidR="00721E4D" w:rsidRDefault="007173D1">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lastRenderedPageBreak/>
        <w:t>“阿克萨洪水”战斗标志着我们斗争的战略转折点，抵抗不会被摧毁</w:t>
      </w:r>
    </w:p>
    <w:p w14:paraId="2601AFE6" w14:textId="1B6D1E21"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值此史诗般地迎来10月7日（“阿克萨洪水”战斗）一周年之际，我们自豪而崇敬地回顾巴勒斯坦人民斗争史上的这一不寻常事件。这一时刻体现了对抗野蛮占领的坚定的抵抗意志。这场战斗标志着冲突的战略转移，暴露了敌人的弱点、脆弱性及其军事安全系统的裂缝，进一步加深了其内部危机。</w:t>
      </w:r>
    </w:p>
    <w:p w14:paraId="29C5D8EE"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在去年这个光荣的日子里，数百名抵抗战士击溃以色列进犯军（IOF）的加沙分部，在数小时内控制了我们被占领的大片土地，并带着数百名被俘士兵和军官返回。</w:t>
      </w:r>
    </w:p>
    <w:p w14:paraId="261FFC27" w14:textId="4429991A"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过去一年，面对犹太复国主义有计划的侵略，抵抗力量实施了高级别的行动，使敌人的军事能力陷于瘫痪，并迷惑了其领导层，使其错误地以为可以在几周内消灭抵抗力量。在地面行动中，占领军尽管采用了焦土战术，但仍遭受了重大的生命和装备损失。抵抗组织继续用火箭弹轰炸“以色列”城市和定居点，深入打击犹太复国主义领土。</w:t>
      </w:r>
    </w:p>
    <w:p w14:paraId="341927E7"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来自巴勒斯坦、黎巴嫩、也门和伊拉克的抵抗轴心（</w:t>
      </w:r>
      <w:r>
        <w:rPr>
          <w:rFonts w:ascii="宋体" w:hAnsi="宋体"/>
          <w:sz w:val="32"/>
          <w:szCs w:val="32"/>
        </w:rPr>
        <w:t>Axis of Resistance</w:t>
      </w:r>
      <w:r>
        <w:rPr>
          <w:rFonts w:ascii="宋体" w:hAnsi="宋体" w:hint="eastAsia"/>
          <w:sz w:val="32"/>
          <w:szCs w:val="32"/>
        </w:rPr>
        <w:t>）派系之间的团结变得明显，伊朗伊斯兰共和国的积极参与有助于消耗敌人，并利用导弹和无人机深入打击犹太复国主义领土，形成了威慑。这加强了抵抗运动在地区舞台上的存在。</w:t>
      </w:r>
    </w:p>
    <w:p w14:paraId="441CAA8D"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在政治和国际战线上，犹太复国主义实体发现自己处</w:t>
      </w:r>
      <w:r>
        <w:rPr>
          <w:rFonts w:ascii="宋体" w:hAnsi="宋体" w:hint="eastAsia"/>
          <w:sz w:val="32"/>
          <w:szCs w:val="32"/>
        </w:rPr>
        <w:lastRenderedPageBreak/>
        <w:t>于前所未有的孤立状态，反对其残暴罪行的全球抗议愈演愈烈。尽管受到美国压力的限制，国际审判法院（International Court of Justice）还是做出了谴责占领罪行的裁决。全球论坛上针对该实体的国际压力渐长，巴勒斯坦人反对犹太复国主义谎言的呼声高涨，导致了前所未有的全球抗议，特别是在世界各地的大学中。</w:t>
      </w:r>
    </w:p>
    <w:p w14:paraId="1AC7B0B3"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在过去的一年里，我国人民和抵抗力量做出了巨大牺牲，成千上万人牺牲、受伤、失踪、被捕。冲突从加沙地带扩大到西岸，随后又扩大到黎巴嫩。</w:t>
      </w:r>
    </w:p>
    <w:p w14:paraId="79D295D2"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在这场战斗中，一些伟大的领导人光荣地牺牲了，其中最重要的是烈士领导人哈桑·纳斯鲁拉（Hassan Nasrallah）；成为象征的领导人伊斯梅尔·哈尼亚（Ismail Haniyeh）；领导人萨利赫·阿鲁里（Saleh Al-Arouri）；以及以解放巴勒斯坦人民阵线（</w:t>
      </w:r>
      <w:r>
        <w:rPr>
          <w:rFonts w:ascii="宋体" w:hAnsi="宋体"/>
          <w:sz w:val="32"/>
          <w:szCs w:val="32"/>
        </w:rPr>
        <w:t>Popular Front for the Liberation of Palestine</w:t>
      </w:r>
      <w:r>
        <w:rPr>
          <w:rFonts w:ascii="宋体" w:hAnsi="宋体" w:hint="eastAsia"/>
          <w:sz w:val="32"/>
          <w:szCs w:val="32"/>
        </w:rPr>
        <w:t>）政治局成员、安全和军事部门负责人尼达尔·阿卜杜勒·阿勒（Nidal Abdul Aal）同志为首的一大批人阵领导人和干部。</w:t>
      </w:r>
    </w:p>
    <w:p w14:paraId="1ECA8E7B"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由于犹太复国主义史无前例的野蛮轰炸，加沙和西岸的基础设施遭到广泛破坏，这比以往任何冲突或战争都更加严重。</w:t>
      </w:r>
      <w:r>
        <w:rPr>
          <w:rFonts w:ascii="宋体" w:hAnsi="宋体"/>
          <w:sz w:val="32"/>
          <w:szCs w:val="32"/>
        </w:rPr>
        <w:t>成千上万被迫流离失所者</w:t>
      </w:r>
      <w:r>
        <w:rPr>
          <w:rFonts w:ascii="宋体" w:hAnsi="宋体" w:hint="eastAsia"/>
          <w:sz w:val="32"/>
          <w:szCs w:val="32"/>
        </w:rPr>
        <w:t>遭受着</w:t>
      </w:r>
      <w:r>
        <w:rPr>
          <w:rFonts w:ascii="宋体" w:hAnsi="宋体"/>
          <w:sz w:val="32"/>
          <w:szCs w:val="32"/>
        </w:rPr>
        <w:t>痛苦，</w:t>
      </w:r>
      <w:r>
        <w:rPr>
          <w:rFonts w:ascii="宋体" w:hAnsi="宋体" w:hint="eastAsia"/>
          <w:sz w:val="32"/>
          <w:szCs w:val="32"/>
        </w:rPr>
        <w:t>占领者对平民犯下了前所未有的罪行，轰炸医院、学校和重要设施，阻止人道主义援助，并在实施种族灭绝和强迫迁徙的过程中将记者作为袭击目标。</w:t>
      </w:r>
    </w:p>
    <w:p w14:paraId="5BC8BB74"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lastRenderedPageBreak/>
        <w:t>尽管敌人企图让我们加沙和西岸的人民流离失所，但人民和抵抗运动坚忍不拔地挫败了这些计划，敌人未能实现其粉碎抵抗运动或夺回人质的目标。</w:t>
      </w:r>
    </w:p>
    <w:p w14:paraId="3ECC48E0"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抵抗力量成功地弥补了其领导层的损失，重新掌握了战斗的控制权，并证明了西岸具有与日益壮大的武装抵抗组织共同斗争的关键地位。</w:t>
      </w:r>
    </w:p>
    <w:p w14:paraId="3E149D41"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在此，解放巴勒斯坦人民阵线政治局重申以下几点：</w:t>
      </w:r>
    </w:p>
    <w:p w14:paraId="37E1A553"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1、“阿克萨洪水”战斗标志着巴勒斯坦抵抗运动历史上的一个战略转折点。它将成为军事院校的学习范例，在计划和执行方面都是如此。</w:t>
      </w:r>
    </w:p>
    <w:p w14:paraId="66902B67" w14:textId="7A4BF8D6"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2、敌人未能实现其既定目标，尤其是未能消灭抵抗力量和</w:t>
      </w:r>
      <w:r w:rsidR="00901EEA">
        <w:rPr>
          <w:rFonts w:ascii="宋体" w:hAnsi="宋体" w:hint="eastAsia"/>
          <w:sz w:val="32"/>
          <w:szCs w:val="32"/>
        </w:rPr>
        <w:t>夺回</w:t>
      </w:r>
      <w:r>
        <w:rPr>
          <w:rFonts w:ascii="宋体" w:hAnsi="宋体" w:hint="eastAsia"/>
          <w:sz w:val="32"/>
          <w:szCs w:val="32"/>
        </w:rPr>
        <w:t>人质，只能继续在加沙、西岸和黎巴嫩的失败中挣扎。</w:t>
      </w:r>
    </w:p>
    <w:p w14:paraId="43DE0ED8"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3、抵抗运动证明了自己能够承受和弥补领导层损失，能够增强防御和进攻的能力。</w:t>
      </w:r>
    </w:p>
    <w:p w14:paraId="38EC5B0C" w14:textId="07D1F0CA"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4、抵抗运动仍然坚持其基本要求</w:t>
      </w:r>
      <w:r w:rsidR="00901EEA">
        <w:rPr>
          <w:rFonts w:ascii="宋体" w:hAnsi="宋体" w:hint="eastAsia"/>
          <w:sz w:val="32"/>
          <w:szCs w:val="32"/>
        </w:rPr>
        <w:t>：（</w:t>
      </w:r>
      <w:r>
        <w:rPr>
          <w:rFonts w:ascii="宋体" w:hAnsi="宋体" w:hint="eastAsia"/>
          <w:sz w:val="32"/>
          <w:szCs w:val="32"/>
        </w:rPr>
        <w:t>以色列）从加沙全面撤军、结束侵略，让流离失所者重返家园，实现重建和彻底解除围困。</w:t>
      </w:r>
    </w:p>
    <w:p w14:paraId="5E6DA862"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5、迫切需要恢复巴勒斯坦的民族团结，制定全面的抵抗战略，以应对占领者强加于我们的重大挑战。</w:t>
      </w:r>
    </w:p>
    <w:p w14:paraId="2FE1AD51"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6、西岸武装抵抗的兴起既是抵抗派别的战略选择，也是冲突的关键因素。</w:t>
      </w:r>
    </w:p>
    <w:p w14:paraId="7FC2BD9C"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7、呼吁阿拉伯群众主动对抗反动政权的政策，停止</w:t>
      </w:r>
      <w:r>
        <w:rPr>
          <w:rFonts w:ascii="宋体" w:hAnsi="宋体" w:hint="eastAsia"/>
          <w:sz w:val="32"/>
          <w:szCs w:val="32"/>
        </w:rPr>
        <w:lastRenderedPageBreak/>
        <w:t>（与以色列关系）正常化，走上街头支持巴勒斯坦和抵抗运动。</w:t>
      </w:r>
    </w:p>
    <w:p w14:paraId="6CF10AEC"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8、全球群众运动必须继续升级，以更大的力量揭露占领罪行，谴责西方和美国对“以色列”侵略的支持。</w:t>
      </w:r>
    </w:p>
    <w:p w14:paraId="763CE64F"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最后，我们代表各派别和抵抗轴心重申，我们向我们的人民、我们的民族和全世界自由的人民保证，抵抗的火焰将一直燃烧下去，不会熄灭，直到打败侵略者，解放巴勒斯坦。只要我们的人民保持坚定的意志和不屈的决心，胜利就是不可避免的。</w:t>
      </w:r>
    </w:p>
    <w:p w14:paraId="195C582B" w14:textId="77777777" w:rsidR="00721E4D" w:rsidRDefault="007173D1">
      <w:pPr>
        <w:spacing w:before="60" w:after="60" w:line="480" w:lineRule="exact"/>
        <w:ind w:firstLine="640"/>
        <w:rPr>
          <w:rFonts w:ascii="宋体" w:hAnsi="宋体" w:hint="eastAsia"/>
          <w:sz w:val="32"/>
          <w:szCs w:val="32"/>
        </w:rPr>
      </w:pPr>
      <w:r>
        <w:rPr>
          <w:rFonts w:ascii="宋体" w:hAnsi="宋体" w:hint="eastAsia"/>
          <w:sz w:val="32"/>
          <w:szCs w:val="32"/>
        </w:rPr>
        <w:t>荣耀归于烈士，自由属于囚徒，胜利必将到来。</w:t>
      </w:r>
    </w:p>
    <w:p w14:paraId="06AF19A7" w14:textId="77777777" w:rsidR="00721E4D" w:rsidRDefault="00721E4D">
      <w:pPr>
        <w:spacing w:before="60" w:after="60" w:line="480" w:lineRule="exact"/>
        <w:ind w:firstLine="640"/>
        <w:rPr>
          <w:rFonts w:ascii="宋体" w:hAnsi="宋体" w:hint="eastAsia"/>
          <w:sz w:val="32"/>
          <w:szCs w:val="32"/>
        </w:rPr>
      </w:pPr>
    </w:p>
    <w:p w14:paraId="0677DFB5" w14:textId="77777777" w:rsidR="00721E4D" w:rsidRDefault="007173D1">
      <w:pPr>
        <w:spacing w:before="60" w:after="60" w:line="480" w:lineRule="exact"/>
        <w:ind w:firstLine="640"/>
        <w:jc w:val="right"/>
        <w:rPr>
          <w:rFonts w:ascii="宋体" w:hAnsi="宋体" w:hint="eastAsia"/>
          <w:sz w:val="32"/>
          <w:szCs w:val="32"/>
        </w:rPr>
      </w:pPr>
      <w:r>
        <w:rPr>
          <w:rFonts w:ascii="宋体" w:hAnsi="宋体" w:hint="eastAsia"/>
          <w:sz w:val="32"/>
          <w:szCs w:val="32"/>
        </w:rPr>
        <w:t>解放巴勒斯坦人民阵线政治局</w:t>
      </w:r>
    </w:p>
    <w:p w14:paraId="3FCDD388" w14:textId="77777777" w:rsidR="00721E4D" w:rsidRDefault="007173D1">
      <w:pPr>
        <w:wordWrap w:val="0"/>
        <w:spacing w:before="60" w:after="60" w:line="480" w:lineRule="exact"/>
        <w:ind w:firstLine="640"/>
        <w:jc w:val="right"/>
        <w:rPr>
          <w:rFonts w:ascii="宋体" w:hAnsi="宋体" w:hint="eastAsia"/>
          <w:sz w:val="32"/>
          <w:szCs w:val="32"/>
        </w:rPr>
      </w:pPr>
      <w:r>
        <w:rPr>
          <w:rFonts w:ascii="宋体" w:hAnsi="宋体" w:hint="eastAsia"/>
          <w:sz w:val="32"/>
          <w:szCs w:val="32"/>
        </w:rPr>
        <w:t xml:space="preserve">2024年10月7日     </w:t>
      </w:r>
    </w:p>
    <w:p w14:paraId="5638EBC3" w14:textId="77777777" w:rsidR="00721E4D" w:rsidRDefault="007173D1">
      <w:pPr>
        <w:widowControl/>
        <w:spacing w:line="240" w:lineRule="auto"/>
        <w:ind w:firstLineChars="0" w:firstLine="0"/>
        <w:jc w:val="left"/>
        <w:rPr>
          <w:rFonts w:ascii="宋体" w:hAnsi="宋体" w:hint="eastAsia"/>
          <w:sz w:val="32"/>
          <w:szCs w:val="32"/>
        </w:rPr>
      </w:pPr>
      <w:r>
        <w:rPr>
          <w:rFonts w:ascii="宋体" w:hAnsi="宋体"/>
          <w:sz w:val="32"/>
          <w:szCs w:val="32"/>
        </w:rPr>
        <w:br w:type="page"/>
      </w:r>
    </w:p>
    <w:p w14:paraId="60B96C22" w14:textId="77777777" w:rsidR="00721E4D" w:rsidRDefault="007173D1">
      <w:pPr>
        <w:pStyle w:val="1"/>
        <w:spacing w:line="14" w:lineRule="auto"/>
        <w:rPr>
          <w:rFonts w:ascii="黑体" w:eastAsia="黑体" w:hAnsi="黑体" w:hint="eastAsia"/>
          <w:szCs w:val="36"/>
        </w:rPr>
      </w:pPr>
      <w:bookmarkStart w:id="11" w:name="_Toc185968496"/>
      <w:r>
        <w:rPr>
          <w:rFonts w:ascii="黑体" w:eastAsia="黑体" w:hAnsi="黑体" w:hint="eastAsia"/>
          <w:szCs w:val="36"/>
        </w:rPr>
        <w:lastRenderedPageBreak/>
        <w:t>法国革命共产党声援卡纳克人民争取权利的斗争</w:t>
      </w:r>
      <w:bookmarkEnd w:id="11"/>
    </w:p>
    <w:p w14:paraId="44763B74" w14:textId="77777777" w:rsidR="00721E4D" w:rsidRDefault="007173D1">
      <w:pPr>
        <w:ind w:firstLineChars="0" w:firstLine="0"/>
        <w:jc w:val="center"/>
      </w:pPr>
      <w:r>
        <w:rPr>
          <w:rFonts w:ascii="宋体" w:hAnsi="宋体"/>
          <w:noProof/>
          <w:sz w:val="24"/>
        </w:rPr>
        <w:drawing>
          <wp:inline distT="0" distB="0" distL="114300" distR="114300" wp14:anchorId="53482348" wp14:editId="117E6C4F">
            <wp:extent cx="5147945" cy="3860800"/>
            <wp:effectExtent l="0" t="0" r="14605"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1"/>
                    <a:stretch>
                      <a:fillRect/>
                    </a:stretch>
                  </pic:blipFill>
                  <pic:spPr>
                    <a:xfrm>
                      <a:off x="0" y="0"/>
                      <a:ext cx="5147945" cy="3860800"/>
                    </a:xfrm>
                    <a:prstGeom prst="rect">
                      <a:avLst/>
                    </a:prstGeom>
                    <a:noFill/>
                    <a:ln w="9525">
                      <a:noFill/>
                    </a:ln>
                  </pic:spPr>
                </pic:pic>
              </a:graphicData>
            </a:graphic>
          </wp:inline>
        </w:drawing>
      </w:r>
    </w:p>
    <w:p w14:paraId="06D3A896" w14:textId="77777777" w:rsidR="00721E4D" w:rsidRDefault="007173D1">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法国革命共产党网站</w:t>
      </w:r>
    </w:p>
    <w:p w14:paraId="00F734FF" w14:textId="77777777" w:rsidR="00721E4D" w:rsidRDefault="007173D1">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5</w:t>
      </w:r>
      <w:r>
        <w:rPr>
          <w:rFonts w:ascii="Times New Roman" w:eastAsia="仿宋" w:hAnsi="Times New Roman" w:cs="Times New Roman" w:hint="eastAsia"/>
          <w:szCs w:val="28"/>
        </w:rPr>
        <w:t>月</w:t>
      </w:r>
      <w:r>
        <w:rPr>
          <w:rFonts w:ascii="Times New Roman" w:eastAsia="仿宋" w:hAnsi="Times New Roman" w:cs="Times New Roman" w:hint="eastAsia"/>
          <w:szCs w:val="28"/>
        </w:rPr>
        <w:t>27</w:t>
      </w:r>
      <w:r>
        <w:rPr>
          <w:rFonts w:ascii="Times New Roman" w:eastAsia="仿宋" w:hAnsi="Times New Roman" w:cs="Times New Roman" w:hint="eastAsia"/>
          <w:szCs w:val="28"/>
        </w:rPr>
        <w:t>日</w:t>
      </w:r>
    </w:p>
    <w:p w14:paraId="26B8DE73" w14:textId="77777777" w:rsidR="00721E4D" w:rsidRDefault="007173D1">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2" w:history="1">
        <w:r>
          <w:rPr>
            <w:rStyle w:val="afd"/>
            <w:rFonts w:ascii="Times New Roman" w:eastAsia="仿宋" w:hAnsi="Times New Roman" w:cs="Times New Roman" w:hint="eastAsia"/>
            <w:szCs w:val="28"/>
          </w:rPr>
          <w:t>https://www.pcrf-ic.fr/Kanaky-Soutien-a-la-lutte-du</w:t>
        </w:r>
      </w:hyperlink>
    </w:p>
    <w:p w14:paraId="1D3AA404" w14:textId="08204448" w:rsidR="00721E4D" w:rsidRDefault="007173D1">
      <w:pPr>
        <w:spacing w:before="60" w:after="60" w:line="480" w:lineRule="exact"/>
        <w:ind w:firstLine="640"/>
        <w:rPr>
          <w:rFonts w:ascii="宋体" w:hAnsi="宋体" w:hint="eastAsia"/>
          <w:sz w:val="32"/>
          <w:szCs w:val="32"/>
          <w:lang w:val="fr-CA"/>
        </w:rPr>
      </w:pPr>
      <w:r>
        <w:rPr>
          <w:rFonts w:ascii="黑体" w:eastAsia="黑体" w:hAnsi="黑体" w:cs="黑体" w:hint="eastAsia"/>
          <w:sz w:val="32"/>
          <w:szCs w:val="32"/>
          <w:lang w:val="fr-CA"/>
        </w:rPr>
        <w:t>几个星期以来，卡纳基（官方称“</w:t>
      </w:r>
      <w:bookmarkStart w:id="12" w:name="OLE_LINK1"/>
      <w:r>
        <w:rPr>
          <w:rFonts w:ascii="黑体" w:eastAsia="黑体" w:hAnsi="黑体" w:cs="黑体" w:hint="eastAsia"/>
          <w:sz w:val="32"/>
          <w:szCs w:val="32"/>
          <w:lang w:val="fr-CA"/>
        </w:rPr>
        <w:t>新喀里多尼亚</w:t>
      </w:r>
      <w:bookmarkEnd w:id="12"/>
      <w:r>
        <w:rPr>
          <w:rFonts w:ascii="黑体" w:eastAsia="黑体" w:hAnsi="黑体" w:cs="黑体" w:hint="eastAsia"/>
          <w:sz w:val="32"/>
          <w:szCs w:val="32"/>
          <w:lang w:val="fr-CA"/>
        </w:rPr>
        <w:t>”）（Kanaky (officiellement « Nouvelle-Calédonie »)）正在燃烧：这个群岛爆发了暴力的示威和起义。</w:t>
      </w:r>
      <w:r>
        <w:rPr>
          <w:rFonts w:ascii="宋体" w:hAnsi="宋体" w:hint="eastAsia"/>
          <w:sz w:val="32"/>
          <w:szCs w:val="32"/>
          <w:lang w:val="fr-CA"/>
        </w:rPr>
        <w:t>5月14日晚至5月15日，法国国民议会通过了宪法改革计划，解冻了选民名单。支持独立的卡纳克人</w:t>
      </w:r>
      <w:r w:rsidR="00065BB6">
        <w:rPr>
          <w:rFonts w:ascii="宋体" w:hAnsi="宋体" w:hint="eastAsia"/>
          <w:sz w:val="32"/>
          <w:szCs w:val="32"/>
          <w:lang w:val="fr-CA"/>
        </w:rPr>
        <w:t>（</w:t>
      </w:r>
      <w:r w:rsidR="00065BB6" w:rsidRPr="00065BB6">
        <w:rPr>
          <w:rFonts w:ascii="宋体" w:hAnsi="宋体"/>
          <w:sz w:val="32"/>
          <w:szCs w:val="32"/>
          <w:lang w:val="fr-CA"/>
        </w:rPr>
        <w:t>kanak</w:t>
      </w:r>
      <w:r w:rsidR="00065BB6">
        <w:rPr>
          <w:rFonts w:ascii="宋体" w:hAnsi="宋体" w:hint="eastAsia"/>
          <w:sz w:val="32"/>
          <w:szCs w:val="32"/>
          <w:lang w:val="fr-CA"/>
        </w:rPr>
        <w:t>s）</w:t>
      </w:r>
      <w:r>
        <w:rPr>
          <w:rFonts w:ascii="宋体" w:hAnsi="宋体" w:hint="eastAsia"/>
          <w:sz w:val="32"/>
          <w:szCs w:val="32"/>
          <w:lang w:val="fr-CA"/>
        </w:rPr>
        <w:t>反对这项改</w:t>
      </w:r>
      <w:r>
        <w:rPr>
          <w:rFonts w:ascii="宋体" w:hAnsi="宋体" w:hint="eastAsia"/>
          <w:sz w:val="32"/>
          <w:szCs w:val="32"/>
          <w:lang w:val="fr-CA"/>
        </w:rPr>
        <w:lastRenderedPageBreak/>
        <w:t>革，这引发了这次起义。示威者建起了路障。截至5月24日，死亡人数已经上升到7人。我们不会忘记，法国这个殖民国家的体制性暴力直白露骨。比方说，1988年5月，在乌伟阿岛（Ouvéa）洞穴中，有19名独立派人士遭到屠杀。</w:t>
      </w:r>
    </w:p>
    <w:p w14:paraId="6DB3024F" w14:textId="1A18CCB0"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5月23日，马克龙带着他的解决方案突然</w:t>
      </w:r>
      <w:r w:rsidR="00065BB6">
        <w:rPr>
          <w:rFonts w:ascii="宋体" w:hAnsi="宋体" w:hint="eastAsia"/>
          <w:sz w:val="32"/>
          <w:szCs w:val="32"/>
          <w:lang w:val="fr-CA"/>
        </w:rPr>
        <w:t>到访</w:t>
      </w:r>
      <w:r>
        <w:rPr>
          <w:rFonts w:ascii="宋体" w:hAnsi="宋体" w:hint="eastAsia"/>
          <w:sz w:val="32"/>
          <w:szCs w:val="32"/>
          <w:lang w:val="fr-CA"/>
        </w:rPr>
        <w:t>卡纳基，急着宣布“谁也别想让共和国以任何形式退缩。我们不会向暴力让步”。他指出：“我们可以把这项（激起卡纳克人民起义的）改革提交给议会，进行五分之三票数门槛的表决；也可以提交给法国民众、提交给我们的同胞们进行公投。”他呼吁结束暴力、立即拆除所有路障，这是结束紧急状态的条件！这位总统王公还抛出这样一句话：“这里不是狂野的美国西部，共和国应当在所有问题上重建权威，保证所有人的安全。”为了保卫法帝国主义的利益，在卡纳基一共部署了23队机动宪兵、3500名资产阶级执法人员和130名国家宪兵特勤队（GIGN）与</w:t>
      </w:r>
      <w:r>
        <w:rPr>
          <w:rFonts w:ascii="宋体" w:hAnsi="宋体" w:hint="eastAsia"/>
          <w:sz w:val="32"/>
          <w:szCs w:val="32"/>
        </w:rPr>
        <w:t>黑豹突击队（RAID）的成员</w:t>
      </w:r>
      <w:r>
        <w:rPr>
          <w:rFonts w:ascii="宋体" w:hAnsi="宋体" w:hint="eastAsia"/>
          <w:sz w:val="32"/>
          <w:szCs w:val="32"/>
          <w:lang w:val="fr-CA"/>
        </w:rPr>
        <w:t>！在那3500人中，还包括了法国政府5月28日宣布解除紧急状态时额外派来的480名机动宪兵，他们的任务是在整个地区严格保证晚18时至早6时的宵禁。</w:t>
      </w:r>
    </w:p>
    <w:p w14:paraId="076C7286" w14:textId="32CBEE2F" w:rsidR="00721E4D" w:rsidRDefault="007173D1">
      <w:pPr>
        <w:spacing w:before="60" w:after="60" w:line="480" w:lineRule="exact"/>
        <w:ind w:firstLine="640"/>
        <w:rPr>
          <w:rFonts w:ascii="宋体" w:hAnsi="宋体" w:hint="eastAsia"/>
          <w:sz w:val="32"/>
          <w:szCs w:val="32"/>
          <w:lang w:val="fr-CA"/>
        </w:rPr>
      </w:pPr>
      <w:r>
        <w:rPr>
          <w:rFonts w:ascii="黑体" w:eastAsia="黑体" w:hAnsi="黑体" w:cs="黑体" w:hint="eastAsia"/>
          <w:sz w:val="32"/>
          <w:szCs w:val="32"/>
          <w:lang w:val="fr-CA"/>
        </w:rPr>
        <w:t>要记得，自5月13日起，航空运输、陆地运输、酒店业行业协会（T.H.T）以及与</w:t>
      </w:r>
      <w:r>
        <w:rPr>
          <w:rFonts w:ascii="黑体" w:eastAsia="黑体" w:hAnsi="黑体" w:cs="黑体" w:hint="eastAsia"/>
          <w:sz w:val="32"/>
          <w:szCs w:val="32"/>
        </w:rPr>
        <w:t>法</w:t>
      </w:r>
      <w:r>
        <w:rPr>
          <w:rFonts w:ascii="黑体" w:eastAsia="黑体" w:hAnsi="黑体" w:cs="黑体" w:hint="eastAsia"/>
          <w:sz w:val="32"/>
          <w:szCs w:val="32"/>
          <w:lang w:val="fr-CA"/>
        </w:rPr>
        <w:t>国总工会（CGT）联系紧密的卡纳克工人与被剥削者工会（USTKE）的港口码头支部就已发出号召，呼吁所有工会成员（尤其是在卡纳基的主要海关通图阿（Tontouta）机场和码头工作的</w:t>
      </w:r>
      <w:r>
        <w:rPr>
          <w:rFonts w:ascii="黑体" w:eastAsia="黑体" w:hAnsi="黑体" w:cs="黑体" w:hint="eastAsia"/>
          <w:sz w:val="32"/>
          <w:szCs w:val="32"/>
        </w:rPr>
        <w:t>战斗者们</w:t>
      </w:r>
      <w:r>
        <w:rPr>
          <w:rFonts w:ascii="黑体" w:eastAsia="黑体" w:hAnsi="黑体" w:cs="黑体" w:hint="eastAsia"/>
          <w:sz w:val="32"/>
          <w:szCs w:val="32"/>
          <w:lang w:val="fr-CA"/>
        </w:rPr>
        <w:t>）停</w:t>
      </w:r>
      <w:r>
        <w:rPr>
          <w:rFonts w:ascii="黑体" w:eastAsia="黑体" w:hAnsi="黑体" w:cs="黑体" w:hint="eastAsia"/>
          <w:sz w:val="32"/>
          <w:szCs w:val="32"/>
          <w:lang w:val="fr-CA"/>
        </w:rPr>
        <w:lastRenderedPageBreak/>
        <w:t>止工作24小时，并且这一号召可能不断重复。</w:t>
      </w:r>
      <w:r>
        <w:rPr>
          <w:rFonts w:ascii="宋体" w:hAnsi="宋体" w:hint="eastAsia"/>
          <w:sz w:val="32"/>
          <w:szCs w:val="32"/>
          <w:lang w:val="fr-CA"/>
        </w:rPr>
        <w:t>在法国本土，由喀里多尼亚联盟（Union Calédonienne (UC)）和卡纳克解放党（parti de libération kanak (Palika)）等各种支持独立的政党组成的联盟——卡纳克社会主义民族解放阵线（Front de Libération National Kanak et Socialiste (FLNKS)）与卡纳克工人与被剥削者工会、卡纳基团结集体（collectif Solidarité Kanaky）等组织一道，于5月14日14时在巴黎波旁宫门前组织了一场集会。5月19日，法国本土各地也举行了集会，这些集会和声援巴勒斯坦的示威游行相互联系。</w:t>
      </w:r>
    </w:p>
    <w:p w14:paraId="66722411" w14:textId="77777777" w:rsidR="00721E4D" w:rsidRDefault="007173D1">
      <w:pPr>
        <w:spacing w:before="60" w:after="60" w:line="480" w:lineRule="exact"/>
        <w:ind w:firstLine="640"/>
        <w:rPr>
          <w:rFonts w:ascii="宋体" w:hAnsi="宋体" w:hint="eastAsia"/>
          <w:sz w:val="32"/>
          <w:szCs w:val="32"/>
        </w:rPr>
      </w:pPr>
      <w:r>
        <w:rPr>
          <w:rFonts w:ascii="黑体" w:eastAsia="黑体" w:hAnsi="黑体" w:cs="黑体" w:hint="eastAsia"/>
          <w:sz w:val="32"/>
          <w:szCs w:val="32"/>
          <w:lang w:val="fr-CA"/>
        </w:rPr>
        <w:t>这份法律改革计划想要做什么？</w:t>
      </w:r>
    </w:p>
    <w:p w14:paraId="43DE9284" w14:textId="192F341A"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1998年5月5日，《努美阿（</w:t>
      </w:r>
      <w:r>
        <w:rPr>
          <w:rFonts w:ascii="宋体" w:hAnsi="宋体" w:hint="eastAsia"/>
          <w:sz w:val="32"/>
          <w:szCs w:val="32"/>
          <w:lang w:val="ru-RU"/>
        </w:rPr>
        <w:t>N</w:t>
      </w:r>
      <w:r>
        <w:rPr>
          <w:rFonts w:ascii="宋体" w:hAnsi="宋体" w:hint="eastAsia"/>
          <w:sz w:val="32"/>
          <w:szCs w:val="32"/>
          <w:lang w:val="fr-CA"/>
        </w:rPr>
        <w:t>ouméa）协定》签订。接着，1999年3月19日颁布了《新喀里多尼亚组织法》。自那以来，卡纳基的选举就要依据三份选民名单：第一份叫“基本名单”，第二份叫“各省议会特别名单”，第三份叫“咨询特别名单”。登记在第一份名单上的选民可以在欧洲选举中投票，也可以在全国性的各种选举中投票。进入第一份名单的条件是：在投票前一天年满18岁、拥有法国国籍、享有民事和政治权利。后两份名单是卡纳基独有的名单，限制条件比“基本名单”更多。登记在第二份名单上的选民可以在省级选举中投票，选出省议会（Assemblées de provinces）和</w:t>
      </w:r>
      <w:r w:rsidR="00FB197E">
        <w:rPr>
          <w:rFonts w:ascii="宋体" w:hAnsi="宋体" w:hint="eastAsia"/>
          <w:sz w:val="32"/>
          <w:szCs w:val="32"/>
          <w:lang w:val="fr-CA"/>
        </w:rPr>
        <w:t>“新喀里多尼亚”</w:t>
      </w:r>
      <w:r>
        <w:rPr>
          <w:rFonts w:ascii="宋体" w:hAnsi="宋体" w:hint="eastAsia"/>
          <w:sz w:val="32"/>
          <w:szCs w:val="32"/>
          <w:lang w:val="fr-CA"/>
        </w:rPr>
        <w:t>议会（Congrès）的议员。第二份名单上的选民包括那些1998年前就已居住在“新喀里多尼亚”的人，以及他们在此住</w:t>
      </w:r>
      <w:r>
        <w:rPr>
          <w:rFonts w:ascii="宋体" w:hAnsi="宋体" w:hint="eastAsia"/>
          <w:sz w:val="32"/>
          <w:szCs w:val="32"/>
          <w:lang w:val="fr-CA"/>
        </w:rPr>
        <w:lastRenderedPageBreak/>
        <w:t>满十年的后代。第三份名单的限制条件要严格得多，名单上的人可以参与公投，决定卡纳基是否独立。这次宪法改革计划想要解冻选民资格：它打算把第一份名单中的五分之一（即42596人）加入第二份名单，这样他们就可以在省级选举中投票。</w:t>
      </w:r>
    </w:p>
    <w:p w14:paraId="4CA7B2D6" w14:textId="77777777"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努美阿协定》颁布后，这个使用三份选民名单的体制能够维持来自法国本土的新移民与卡纳克人之间的平衡。随着时间推移，来自法国本土的新移民人口逐渐增长。支持独立的人们感到担忧：这个计划可能稀释卡纳克人的选举权力，进而让卡纳克人边缘化。法国青年卡纳克运动（mouvement des jeunes Kanak en France (MJKF)）的主席丹尼尔·维阿（Daniel Wea）正是这么认为的：“新获得资格的这批选民们将淹没我族人民。”参加了5月14日波旁宫门前示威活动的年轻卡纳克人马罗（Malo）也抗议道：“他们先是解冻选民资格，但是也在威胁我们的身份认同。我不知道他们是否明白，他们正在粉碎我们的身份认同。这是一种重新殖民的形式，我们不会接受。”</w:t>
      </w:r>
    </w:p>
    <w:p w14:paraId="58849043" w14:textId="7E2CF615"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加布里埃尔·阿塔尔（Gabriel Attal）</w:t>
      </w:r>
      <w:r>
        <w:rPr>
          <w:rStyle w:val="aff"/>
          <w:rFonts w:ascii="宋体" w:hAnsi="宋体" w:hint="eastAsia"/>
          <w:sz w:val="32"/>
          <w:szCs w:val="32"/>
          <w:lang w:val="fr-CA"/>
        </w:rPr>
        <w:footnoteReference w:customMarkFollows="1" w:id="1"/>
        <w:t>[1]</w:t>
      </w:r>
      <w:r>
        <w:rPr>
          <w:rFonts w:ascii="宋体" w:hAnsi="宋体" w:hint="eastAsia"/>
          <w:sz w:val="32"/>
          <w:szCs w:val="32"/>
          <w:lang w:val="fr-CA"/>
        </w:rPr>
        <w:t>则为改革辩护，他说“选民资格解冻是一个重大的、无法避开的民主议题”</w:t>
      </w:r>
      <w:r w:rsidR="00FB197E">
        <w:rPr>
          <w:rFonts w:ascii="宋体" w:hAnsi="宋体" w:hint="eastAsia"/>
          <w:sz w:val="32"/>
          <w:szCs w:val="32"/>
          <w:lang w:val="fr-CA"/>
        </w:rPr>
        <w:t>。</w:t>
      </w:r>
      <w:r>
        <w:rPr>
          <w:rFonts w:ascii="宋体" w:hAnsi="宋体" w:hint="eastAsia"/>
          <w:sz w:val="32"/>
          <w:szCs w:val="32"/>
          <w:lang w:val="fr-CA"/>
        </w:rPr>
        <w:t>他宣称：“现今，在新喀里多尼亚出生……或多年来住在那里的人……被剥夺了投票权。”法律改革计划的报告人、来自卡纳基的复兴党（Renaissance）成员尼古</w:t>
      </w:r>
      <w:r>
        <w:rPr>
          <w:rFonts w:ascii="宋体" w:hAnsi="宋体" w:hint="eastAsia"/>
          <w:sz w:val="32"/>
          <w:szCs w:val="32"/>
          <w:lang w:val="fr-CA"/>
        </w:rPr>
        <w:lastRenderedPageBreak/>
        <w:t>拉·梅茨多夫（Nicolas Metzdorf）则认为：“25年来，喀里多尼亚人被排除在选举机关外，他们一直等待着在自己的国家里重获投票权。”他补充说：“我们已经给国民议会提交了法案，它将会重新确立投票权：在当地住满十年的居民可以在当地选举中投票。”</w:t>
      </w:r>
    </w:p>
    <w:p w14:paraId="709F2FFB" w14:textId="6E5F42B2" w:rsidR="00721E4D" w:rsidRDefault="007173D1">
      <w:pPr>
        <w:spacing w:before="60" w:after="60" w:line="480" w:lineRule="exact"/>
        <w:ind w:firstLine="640"/>
        <w:rPr>
          <w:rFonts w:ascii="宋体" w:hAnsi="宋体" w:hint="eastAsia"/>
          <w:sz w:val="32"/>
          <w:szCs w:val="32"/>
          <w:lang w:val="fr-CA"/>
        </w:rPr>
      </w:pPr>
      <w:r>
        <w:rPr>
          <w:rFonts w:ascii="黑体" w:eastAsia="黑体" w:hAnsi="黑体" w:cs="黑体" w:hint="eastAsia"/>
          <w:sz w:val="32"/>
          <w:szCs w:val="32"/>
          <w:lang w:val="fr-CA"/>
        </w:rPr>
        <w:t>这项法律</w:t>
      </w:r>
      <w:r w:rsidR="00FB197E">
        <w:rPr>
          <w:rFonts w:ascii="黑体" w:eastAsia="黑体" w:hAnsi="黑体" w:cs="黑体" w:hint="eastAsia"/>
          <w:sz w:val="32"/>
          <w:szCs w:val="32"/>
          <w:lang w:val="fr-CA"/>
        </w:rPr>
        <w:t>的</w:t>
      </w:r>
      <w:r>
        <w:rPr>
          <w:rFonts w:ascii="黑体" w:eastAsia="黑体" w:hAnsi="黑体" w:cs="黑体" w:hint="eastAsia"/>
          <w:sz w:val="32"/>
          <w:szCs w:val="32"/>
          <w:lang w:val="fr-CA"/>
        </w:rPr>
        <w:t>目的</w:t>
      </w:r>
      <w:r w:rsidR="00FB197E">
        <w:rPr>
          <w:rFonts w:ascii="黑体" w:eastAsia="黑体" w:hAnsi="黑体" w:cs="黑体" w:hint="eastAsia"/>
          <w:sz w:val="32"/>
          <w:szCs w:val="32"/>
          <w:lang w:val="fr-CA"/>
        </w:rPr>
        <w:t>只有一个</w:t>
      </w:r>
      <w:r>
        <w:rPr>
          <w:rFonts w:ascii="黑体" w:eastAsia="黑体" w:hAnsi="黑体" w:cs="黑体" w:hint="eastAsia"/>
          <w:sz w:val="32"/>
          <w:szCs w:val="32"/>
          <w:lang w:val="fr-CA"/>
        </w:rPr>
        <w:t>：</w:t>
      </w:r>
      <w:r>
        <w:rPr>
          <w:rFonts w:ascii="黑体" w:eastAsia="黑体" w:hAnsi="黑体" w:cs="黑体" w:hint="eastAsia"/>
          <w:sz w:val="32"/>
          <w:szCs w:val="32"/>
        </w:rPr>
        <w:t>让更多法国人在选举中投票，以防</w:t>
      </w:r>
      <w:r>
        <w:rPr>
          <w:rFonts w:ascii="黑体" w:eastAsia="黑体" w:hAnsi="黑体" w:cs="黑体" w:hint="eastAsia"/>
          <w:sz w:val="32"/>
          <w:szCs w:val="32"/>
          <w:lang w:val="fr-CA"/>
        </w:rPr>
        <w:t>卡纳克人民“合法</w:t>
      </w:r>
      <w:r>
        <w:rPr>
          <w:rFonts w:ascii="黑体" w:eastAsia="黑体" w:hAnsi="黑体" w:cs="黑体" w:hint="eastAsia"/>
          <w:sz w:val="32"/>
          <w:szCs w:val="32"/>
        </w:rPr>
        <w:t>地</w:t>
      </w:r>
      <w:r>
        <w:rPr>
          <w:rFonts w:ascii="黑体" w:eastAsia="黑体" w:hAnsi="黑体" w:cs="黑体" w:hint="eastAsia"/>
          <w:sz w:val="32"/>
          <w:szCs w:val="32"/>
          <w:lang w:val="fr-CA"/>
        </w:rPr>
        <w:t>”获得独立。</w:t>
      </w:r>
      <w:r>
        <w:rPr>
          <w:rFonts w:ascii="宋体" w:hAnsi="宋体" w:hint="eastAsia"/>
          <w:sz w:val="32"/>
          <w:szCs w:val="32"/>
          <w:lang w:val="fr-CA"/>
        </w:rPr>
        <w:t>此外，法国也采取了资产阶级民主常用的手段</w:t>
      </w:r>
      <w:r>
        <w:rPr>
          <w:rFonts w:ascii="宋体" w:hAnsi="宋体" w:hint="eastAsia"/>
          <w:sz w:val="32"/>
          <w:szCs w:val="32"/>
        </w:rPr>
        <w:t>压抑民意</w:t>
      </w:r>
      <w:r>
        <w:rPr>
          <w:rFonts w:ascii="宋体" w:hAnsi="宋体" w:hint="eastAsia"/>
          <w:sz w:val="32"/>
          <w:szCs w:val="32"/>
          <w:lang w:val="fr-CA"/>
        </w:rPr>
        <w:t>：</w:t>
      </w:r>
      <w:r>
        <w:rPr>
          <w:rFonts w:ascii="宋体" w:hAnsi="宋体" w:hint="eastAsia"/>
          <w:sz w:val="32"/>
          <w:szCs w:val="32"/>
        </w:rPr>
        <w:t>发动</w:t>
      </w:r>
      <w:r>
        <w:rPr>
          <w:rFonts w:ascii="宋体" w:hAnsi="宋体" w:hint="eastAsia"/>
          <w:sz w:val="32"/>
          <w:szCs w:val="32"/>
          <w:lang w:val="fr-CA"/>
        </w:rPr>
        <w:t>垄断组织和企业的经济影响力、压榨</w:t>
      </w:r>
      <w:r>
        <w:rPr>
          <w:rFonts w:ascii="宋体" w:hAnsi="宋体" w:hint="eastAsia"/>
          <w:sz w:val="32"/>
          <w:szCs w:val="32"/>
        </w:rPr>
        <w:t>工人工资</w:t>
      </w:r>
      <w:r>
        <w:rPr>
          <w:rFonts w:ascii="宋体" w:hAnsi="宋体" w:hint="eastAsia"/>
          <w:sz w:val="32"/>
          <w:szCs w:val="32"/>
          <w:lang w:val="fr-CA"/>
        </w:rPr>
        <w:t>、利用媒体、动用资产阶级国家机关（官僚、行政、司法、警察等）。</w:t>
      </w:r>
      <w:r>
        <w:rPr>
          <w:rFonts w:ascii="宋体" w:hAnsi="宋体" w:hint="eastAsia"/>
          <w:sz w:val="32"/>
          <w:szCs w:val="32"/>
        </w:rPr>
        <w:t>而</w:t>
      </w:r>
      <w:r>
        <w:rPr>
          <w:rFonts w:ascii="宋体" w:hAnsi="宋体" w:hint="eastAsia"/>
          <w:sz w:val="32"/>
          <w:szCs w:val="32"/>
          <w:lang w:val="fr-CA"/>
        </w:rPr>
        <w:t>在法国本土，外国人（通常是来自前殖民地的</w:t>
      </w:r>
      <w:r>
        <w:rPr>
          <w:rFonts w:ascii="宋体" w:hAnsi="宋体" w:hint="eastAsia"/>
          <w:sz w:val="32"/>
          <w:szCs w:val="32"/>
        </w:rPr>
        <w:t>人口</w:t>
      </w:r>
      <w:r>
        <w:rPr>
          <w:rFonts w:ascii="宋体" w:hAnsi="宋体" w:hint="eastAsia"/>
          <w:sz w:val="32"/>
          <w:szCs w:val="32"/>
          <w:lang w:val="fr-CA"/>
        </w:rPr>
        <w:t>）</w:t>
      </w:r>
      <w:r>
        <w:rPr>
          <w:rFonts w:ascii="宋体" w:hAnsi="宋体" w:hint="eastAsia"/>
          <w:sz w:val="32"/>
          <w:szCs w:val="32"/>
        </w:rPr>
        <w:t>却</w:t>
      </w:r>
      <w:r w:rsidR="00212E06">
        <w:rPr>
          <w:rFonts w:ascii="宋体" w:hAnsi="宋体" w:hint="eastAsia"/>
          <w:sz w:val="32"/>
          <w:szCs w:val="32"/>
        </w:rPr>
        <w:t>遭</w:t>
      </w:r>
      <w:r>
        <w:rPr>
          <w:rFonts w:ascii="宋体" w:hAnsi="宋体" w:hint="eastAsia"/>
          <w:sz w:val="32"/>
          <w:szCs w:val="32"/>
        </w:rPr>
        <w:t>到了截然不同的</w:t>
      </w:r>
      <w:r w:rsidR="00212E06">
        <w:rPr>
          <w:rFonts w:ascii="宋体" w:hAnsi="宋体" w:hint="eastAsia"/>
          <w:sz w:val="32"/>
          <w:szCs w:val="32"/>
        </w:rPr>
        <w:t>对</w:t>
      </w:r>
      <w:r>
        <w:rPr>
          <w:rFonts w:ascii="宋体" w:hAnsi="宋体" w:hint="eastAsia"/>
          <w:sz w:val="32"/>
          <w:szCs w:val="32"/>
        </w:rPr>
        <w:t>待，尽管他们在那里</w:t>
      </w:r>
      <w:r>
        <w:rPr>
          <w:rFonts w:ascii="宋体" w:hAnsi="宋体" w:hint="eastAsia"/>
          <w:sz w:val="32"/>
          <w:szCs w:val="32"/>
          <w:lang w:val="fr-CA"/>
        </w:rPr>
        <w:t>工作、交税，但是却没有这种投票权。</w:t>
      </w:r>
    </w:p>
    <w:p w14:paraId="2600A1A0" w14:textId="49BCE498"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法国国家统计局（INSEE）2019年发布的一项研究显示，卡纳基的人口中41.9%是卡纳克人，24.1%来自欧洲，8%属于瓦利斯和富图那族群（communauté wallisienne et futunienne）。</w:t>
      </w:r>
      <w:r>
        <w:rPr>
          <w:rFonts w:ascii="宋体" w:hAnsi="宋体" w:hint="eastAsia"/>
          <w:sz w:val="32"/>
          <w:szCs w:val="32"/>
        </w:rPr>
        <w:t>尽管</w:t>
      </w:r>
      <w:r>
        <w:rPr>
          <w:rFonts w:ascii="宋体" w:hAnsi="宋体" w:hint="eastAsia"/>
          <w:sz w:val="32"/>
          <w:szCs w:val="32"/>
          <w:lang w:val="fr-CA"/>
        </w:rPr>
        <w:t>南部省</w:t>
      </w:r>
      <w:r w:rsidR="00212E06">
        <w:rPr>
          <w:rFonts w:ascii="宋体" w:hAnsi="宋体" w:hint="eastAsia"/>
          <w:sz w:val="32"/>
          <w:szCs w:val="32"/>
          <w:lang w:val="fr-CA"/>
        </w:rPr>
        <w:t>（</w:t>
      </w:r>
      <w:r w:rsidR="00212E06" w:rsidRPr="00212E06">
        <w:rPr>
          <w:rFonts w:ascii="宋体" w:hAnsi="宋体"/>
          <w:sz w:val="32"/>
          <w:szCs w:val="32"/>
          <w:lang w:val="fr-CA"/>
        </w:rPr>
        <w:t>province Sud</w:t>
      </w:r>
      <w:r w:rsidR="00212E06">
        <w:rPr>
          <w:rFonts w:ascii="宋体" w:hAnsi="宋体" w:hint="eastAsia"/>
          <w:sz w:val="32"/>
          <w:szCs w:val="32"/>
          <w:lang w:val="fr-CA"/>
        </w:rPr>
        <w:t>）</w:t>
      </w:r>
      <w:r>
        <w:rPr>
          <w:rFonts w:ascii="宋体" w:hAnsi="宋体" w:hint="eastAsia"/>
          <w:sz w:val="32"/>
          <w:szCs w:val="32"/>
        </w:rPr>
        <w:t>只有</w:t>
      </w:r>
      <w:r>
        <w:rPr>
          <w:rFonts w:ascii="宋体" w:hAnsi="宋体" w:hint="eastAsia"/>
          <w:sz w:val="32"/>
          <w:szCs w:val="32"/>
          <w:lang w:val="fr-CA"/>
        </w:rPr>
        <w:t>29%</w:t>
      </w:r>
      <w:r>
        <w:rPr>
          <w:rFonts w:ascii="宋体" w:hAnsi="宋体" w:hint="eastAsia"/>
          <w:sz w:val="32"/>
          <w:szCs w:val="32"/>
        </w:rPr>
        <w:t>的人口是</w:t>
      </w:r>
      <w:r>
        <w:rPr>
          <w:rFonts w:ascii="宋体" w:hAnsi="宋体" w:hint="eastAsia"/>
          <w:sz w:val="32"/>
          <w:szCs w:val="32"/>
          <w:lang w:val="fr-CA"/>
        </w:rPr>
        <w:t>卡纳克人，</w:t>
      </w:r>
      <w:r>
        <w:rPr>
          <w:rFonts w:ascii="宋体" w:hAnsi="宋体" w:hint="eastAsia"/>
          <w:sz w:val="32"/>
          <w:szCs w:val="32"/>
        </w:rPr>
        <w:t>但是在</w:t>
      </w:r>
      <w:r>
        <w:rPr>
          <w:rFonts w:ascii="宋体" w:hAnsi="宋体" w:hint="eastAsia"/>
          <w:sz w:val="32"/>
          <w:szCs w:val="32"/>
          <w:lang w:val="fr-CA"/>
        </w:rPr>
        <w:t>北部省</w:t>
      </w:r>
      <w:r w:rsidR="00212E06">
        <w:rPr>
          <w:rFonts w:ascii="宋体" w:hAnsi="宋体" w:hint="eastAsia"/>
          <w:sz w:val="32"/>
          <w:szCs w:val="32"/>
          <w:lang w:val="fr-CA"/>
        </w:rPr>
        <w:t>（</w:t>
      </w:r>
      <w:r w:rsidR="00212E06" w:rsidRPr="00212E06">
        <w:rPr>
          <w:rFonts w:ascii="宋体" w:hAnsi="宋体"/>
          <w:sz w:val="32"/>
          <w:szCs w:val="32"/>
          <w:lang w:val="fr-CA"/>
        </w:rPr>
        <w:t>province Nord</w:t>
      </w:r>
      <w:r w:rsidR="00212E06">
        <w:rPr>
          <w:rFonts w:ascii="宋体" w:hAnsi="宋体" w:hint="eastAsia"/>
          <w:sz w:val="32"/>
          <w:szCs w:val="32"/>
          <w:lang w:val="fr-CA"/>
        </w:rPr>
        <w:t>）</w:t>
      </w:r>
      <w:r>
        <w:rPr>
          <w:rFonts w:ascii="宋体" w:hAnsi="宋体" w:hint="eastAsia"/>
          <w:sz w:val="32"/>
          <w:szCs w:val="32"/>
        </w:rPr>
        <w:t>和</w:t>
      </w:r>
      <w:r>
        <w:rPr>
          <w:rFonts w:ascii="宋体" w:hAnsi="宋体" w:hint="eastAsia"/>
          <w:sz w:val="32"/>
          <w:szCs w:val="32"/>
          <w:lang w:val="fr-CA"/>
        </w:rPr>
        <w:t>洛亚蒂群岛省（îles Loyauté），</w:t>
      </w:r>
      <w:r>
        <w:rPr>
          <w:rFonts w:ascii="宋体" w:hAnsi="宋体" w:hint="eastAsia"/>
          <w:sz w:val="32"/>
          <w:szCs w:val="32"/>
        </w:rPr>
        <w:t>卡纳克人分别占当地</w:t>
      </w:r>
      <w:r>
        <w:rPr>
          <w:rFonts w:ascii="宋体" w:hAnsi="宋体" w:hint="eastAsia"/>
          <w:sz w:val="32"/>
          <w:szCs w:val="32"/>
          <w:lang w:val="fr-CA"/>
        </w:rPr>
        <w:t>人口的72%</w:t>
      </w:r>
      <w:r>
        <w:rPr>
          <w:rFonts w:ascii="宋体" w:hAnsi="宋体" w:hint="eastAsia"/>
          <w:sz w:val="32"/>
          <w:szCs w:val="32"/>
        </w:rPr>
        <w:t>和</w:t>
      </w:r>
      <w:r>
        <w:rPr>
          <w:rFonts w:ascii="宋体" w:hAnsi="宋体" w:hint="eastAsia"/>
          <w:sz w:val="32"/>
          <w:szCs w:val="32"/>
          <w:lang w:val="fr-CA"/>
        </w:rPr>
        <w:t>95%。除</w:t>
      </w:r>
      <w:r w:rsidR="008360BC">
        <w:rPr>
          <w:rFonts w:ascii="宋体" w:hAnsi="宋体" w:hint="eastAsia"/>
          <w:sz w:val="32"/>
          <w:szCs w:val="32"/>
          <w:lang w:val="fr-CA"/>
        </w:rPr>
        <w:t>了</w:t>
      </w:r>
      <w:r>
        <w:rPr>
          <w:rFonts w:ascii="宋体" w:hAnsi="宋体" w:hint="eastAsia"/>
          <w:sz w:val="32"/>
          <w:szCs w:val="32"/>
          <w:lang w:val="fr-CA"/>
        </w:rPr>
        <w:t>土地占有量方面的不平等，就业不平等</w:t>
      </w:r>
      <w:r w:rsidR="00212E06">
        <w:rPr>
          <w:rFonts w:ascii="宋体" w:hAnsi="宋体" w:hint="eastAsia"/>
          <w:sz w:val="32"/>
          <w:szCs w:val="32"/>
          <w:lang w:val="fr-CA"/>
        </w:rPr>
        <w:t>也</w:t>
      </w:r>
      <w:r>
        <w:rPr>
          <w:rFonts w:ascii="宋体" w:hAnsi="宋体" w:hint="eastAsia"/>
          <w:sz w:val="32"/>
          <w:szCs w:val="32"/>
          <w:lang w:val="fr-CA"/>
        </w:rPr>
        <w:t>持续存在：即便拿到同等的文凭也仍要遭到不平等对待。法国国家统计局2022年的研究表明，卡纳克人占据40%的工薪职位、72%的非全职职位。在决策岗位上的卡纳克人比例也偏少：在私有部门中，只有3%的卡纳克人处于决策岗</w:t>
      </w:r>
      <w:r>
        <w:rPr>
          <w:rFonts w:ascii="宋体" w:hAnsi="宋体" w:hint="eastAsia"/>
          <w:sz w:val="32"/>
          <w:szCs w:val="32"/>
          <w:lang w:val="fr-CA"/>
        </w:rPr>
        <w:lastRenderedPageBreak/>
        <w:t>位，对于非卡纳克人而言则是13%。根据法国国家统计局2019年的统计，文凭差距也十分显著：该群岛上54%的“欧洲人”拥有高等教育文凭，然而只有24%的混血群体、9%的瓦利斯和富图那族群、8%的卡纳克人拥有高等教育文凭。法国国家统计局2023年的研究表明，在卡纳基共有51000人（即五分之一）生活</w:t>
      </w:r>
      <w:r w:rsidR="008360BC">
        <w:rPr>
          <w:rFonts w:ascii="宋体" w:hAnsi="宋体" w:hint="eastAsia"/>
          <w:sz w:val="32"/>
          <w:szCs w:val="32"/>
          <w:lang w:val="fr-CA"/>
        </w:rPr>
        <w:t>在</w:t>
      </w:r>
      <w:r>
        <w:rPr>
          <w:rFonts w:ascii="宋体" w:hAnsi="宋体" w:hint="eastAsia"/>
          <w:sz w:val="32"/>
          <w:szCs w:val="32"/>
          <w:lang w:val="fr-CA"/>
        </w:rPr>
        <w:t>贫困线下，同时卡纳基的消费品价格水平要比法国本土</w:t>
      </w:r>
      <w:r w:rsidR="008360BC">
        <w:rPr>
          <w:rFonts w:ascii="宋体" w:hAnsi="宋体" w:hint="eastAsia"/>
          <w:sz w:val="32"/>
          <w:szCs w:val="32"/>
          <w:lang w:val="fr-CA"/>
        </w:rPr>
        <w:t>高</w:t>
      </w:r>
      <w:r>
        <w:rPr>
          <w:rFonts w:ascii="宋体" w:hAnsi="宋体" w:hint="eastAsia"/>
          <w:sz w:val="32"/>
          <w:szCs w:val="32"/>
          <w:lang w:val="fr-CA"/>
        </w:rPr>
        <w:t>31%，其中食品价格尤为高昂，比法国本土</w:t>
      </w:r>
      <w:r w:rsidR="008360BC">
        <w:rPr>
          <w:rFonts w:ascii="宋体" w:hAnsi="宋体" w:hint="eastAsia"/>
          <w:sz w:val="32"/>
          <w:szCs w:val="32"/>
          <w:lang w:val="fr-CA"/>
        </w:rPr>
        <w:t>高</w:t>
      </w:r>
      <w:r>
        <w:rPr>
          <w:rFonts w:ascii="宋体" w:hAnsi="宋体" w:hint="eastAsia"/>
          <w:sz w:val="32"/>
          <w:szCs w:val="32"/>
          <w:lang w:val="fr-CA"/>
        </w:rPr>
        <w:t>78%。然而忠于法国的白人们却毫不关心大多数卡纳克人遭受的贫困，只是指责卡纳克人的劫掠和封路行为！</w:t>
      </w:r>
    </w:p>
    <w:p w14:paraId="01455145" w14:textId="77777777" w:rsidR="00721E4D" w:rsidRDefault="007173D1">
      <w:pPr>
        <w:spacing w:before="60" w:after="60" w:line="480" w:lineRule="exact"/>
        <w:ind w:firstLine="640"/>
        <w:rPr>
          <w:rFonts w:ascii="宋体" w:hAnsi="宋体" w:hint="eastAsia"/>
          <w:sz w:val="32"/>
          <w:szCs w:val="32"/>
        </w:rPr>
      </w:pPr>
      <w:r>
        <w:rPr>
          <w:rFonts w:ascii="黑体" w:eastAsia="黑体" w:hAnsi="黑体" w:cs="黑体" w:hint="eastAsia"/>
          <w:sz w:val="32"/>
          <w:szCs w:val="32"/>
          <w:lang w:val="fr-CA"/>
        </w:rPr>
        <w:t>卡纳基正在引发各方觊觎。</w:t>
      </w:r>
    </w:p>
    <w:p w14:paraId="5B4B64E2" w14:textId="77777777"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卡纳基在太平洋</w:t>
      </w:r>
      <w:r>
        <w:rPr>
          <w:rFonts w:ascii="宋体" w:hAnsi="宋体" w:hint="eastAsia"/>
          <w:sz w:val="32"/>
          <w:szCs w:val="32"/>
        </w:rPr>
        <w:t>占据地缘</w:t>
      </w:r>
      <w:r>
        <w:rPr>
          <w:rFonts w:ascii="宋体" w:hAnsi="宋体" w:hint="eastAsia"/>
          <w:sz w:val="32"/>
          <w:szCs w:val="32"/>
          <w:lang w:val="fr-CA"/>
        </w:rPr>
        <w:t>战略</w:t>
      </w:r>
      <w:r>
        <w:rPr>
          <w:rFonts w:ascii="宋体" w:hAnsi="宋体" w:hint="eastAsia"/>
          <w:sz w:val="32"/>
          <w:szCs w:val="32"/>
        </w:rPr>
        <w:t>位置</w:t>
      </w:r>
      <w:r>
        <w:rPr>
          <w:rFonts w:ascii="宋体" w:hAnsi="宋体" w:hint="eastAsia"/>
          <w:sz w:val="32"/>
          <w:szCs w:val="32"/>
          <w:lang w:val="fr-CA"/>
        </w:rPr>
        <w:t>。全世界20%至30%的镍资源</w:t>
      </w:r>
      <w:r>
        <w:rPr>
          <w:rFonts w:ascii="宋体" w:hAnsi="宋体" w:hint="eastAsia"/>
          <w:sz w:val="32"/>
          <w:szCs w:val="32"/>
        </w:rPr>
        <w:t>都在卡纳基</w:t>
      </w:r>
      <w:r>
        <w:rPr>
          <w:rFonts w:ascii="宋体" w:hAnsi="宋体" w:hint="eastAsia"/>
          <w:sz w:val="32"/>
          <w:szCs w:val="32"/>
          <w:lang w:val="fr-CA"/>
        </w:rPr>
        <w:t>，这种元素在先进计算机、航天、锂离子电池、军事装备等大量工业部门中都不可或缺。</w:t>
      </w:r>
      <w:r>
        <w:rPr>
          <w:rFonts w:ascii="宋体" w:hAnsi="宋体" w:hint="eastAsia"/>
          <w:sz w:val="32"/>
          <w:szCs w:val="32"/>
        </w:rPr>
        <w:t>在卡纳基，</w:t>
      </w:r>
      <w:r>
        <w:rPr>
          <w:rFonts w:ascii="宋体" w:hAnsi="宋体" w:hint="eastAsia"/>
          <w:sz w:val="32"/>
          <w:szCs w:val="32"/>
          <w:lang w:val="fr-CA"/>
        </w:rPr>
        <w:t>镍产业是</w:t>
      </w:r>
      <w:r>
        <w:rPr>
          <w:rFonts w:ascii="宋体" w:hAnsi="宋体" w:hint="eastAsia"/>
          <w:sz w:val="32"/>
          <w:szCs w:val="32"/>
        </w:rPr>
        <w:t>就业人数最多</w:t>
      </w:r>
      <w:r>
        <w:rPr>
          <w:rFonts w:ascii="宋体" w:hAnsi="宋体" w:hint="eastAsia"/>
          <w:sz w:val="32"/>
          <w:szCs w:val="32"/>
          <w:lang w:val="fr-CA"/>
        </w:rPr>
        <w:t>的产业之一，</w:t>
      </w:r>
      <w:r>
        <w:rPr>
          <w:rFonts w:ascii="宋体" w:hAnsi="宋体" w:hint="eastAsia"/>
          <w:sz w:val="32"/>
          <w:szCs w:val="32"/>
        </w:rPr>
        <w:t>创造了</w:t>
      </w:r>
      <w:r>
        <w:rPr>
          <w:rFonts w:ascii="宋体" w:hAnsi="宋体" w:hint="eastAsia"/>
          <w:sz w:val="32"/>
          <w:szCs w:val="32"/>
          <w:lang w:val="fr-CA"/>
        </w:rPr>
        <w:t>13000</w:t>
      </w:r>
      <w:r>
        <w:rPr>
          <w:rFonts w:ascii="宋体" w:hAnsi="宋体" w:hint="eastAsia"/>
          <w:sz w:val="32"/>
          <w:szCs w:val="32"/>
        </w:rPr>
        <w:t>个</w:t>
      </w:r>
      <w:r>
        <w:rPr>
          <w:rFonts w:ascii="宋体" w:hAnsi="宋体" w:hint="eastAsia"/>
          <w:sz w:val="32"/>
          <w:szCs w:val="32"/>
          <w:lang w:val="fr-CA"/>
        </w:rPr>
        <w:t>，接近四分之一的</w:t>
      </w:r>
      <w:r>
        <w:rPr>
          <w:rFonts w:ascii="宋体" w:hAnsi="宋体" w:hint="eastAsia"/>
          <w:sz w:val="32"/>
          <w:szCs w:val="32"/>
        </w:rPr>
        <w:t>就业岗位</w:t>
      </w:r>
      <w:r>
        <w:rPr>
          <w:rFonts w:ascii="宋体" w:hAnsi="宋体" w:hint="eastAsia"/>
          <w:sz w:val="32"/>
          <w:szCs w:val="32"/>
          <w:lang w:val="fr-CA"/>
        </w:rPr>
        <w:t>。卡纳基的专属经济区面积为1300万平方公里，占全法国专属经济区面积的13%（法国的专属经济区面积居世界第二位，仅次于美国），水产资源</w:t>
      </w:r>
      <w:r>
        <w:rPr>
          <w:rFonts w:ascii="宋体" w:hAnsi="宋体" w:hint="eastAsia"/>
          <w:sz w:val="32"/>
          <w:szCs w:val="32"/>
        </w:rPr>
        <w:t>丰富</w:t>
      </w:r>
      <w:r>
        <w:rPr>
          <w:rFonts w:ascii="宋体" w:hAnsi="宋体" w:hint="eastAsia"/>
          <w:sz w:val="32"/>
          <w:szCs w:val="32"/>
          <w:lang w:val="fr-CA"/>
        </w:rPr>
        <w:t>。</w:t>
      </w:r>
    </w:p>
    <w:p w14:paraId="766A215E" w14:textId="77777777"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法国这个殖民国家准备用一切手段维持对卡纳基的控制：例如，在2021年，法国坚持举行第三次独立公投，而不顾独立派的要求——当时正值新冠肺炎疫情时期，独立派想要把投票日期推迟到卡纳克人传统守灵时段之后。虽</w:t>
      </w:r>
      <w:r>
        <w:rPr>
          <w:rFonts w:ascii="宋体" w:hAnsi="宋体" w:hint="eastAsia"/>
          <w:sz w:val="32"/>
          <w:szCs w:val="32"/>
          <w:lang w:val="fr-CA"/>
        </w:rPr>
        <w:lastRenderedPageBreak/>
        <w:t>然在参与投票的人中，共有96.5%反对独立，3.5%支持独立，但投票参与率仅仅只有43.87%。</w:t>
      </w:r>
    </w:p>
    <w:p w14:paraId="608F14B3" w14:textId="77777777"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卡纳克人被剥夺了在自己土地上创造出的财富，被剥夺了完整的主权。</w:t>
      </w:r>
      <w:r>
        <w:rPr>
          <w:rFonts w:ascii="宋体" w:hAnsi="宋体" w:hint="eastAsia"/>
          <w:sz w:val="32"/>
          <w:szCs w:val="32"/>
        </w:rPr>
        <w:t>当地的</w:t>
      </w:r>
      <w:r>
        <w:rPr>
          <w:rFonts w:ascii="宋体" w:hAnsi="宋体" w:hint="eastAsia"/>
          <w:sz w:val="32"/>
          <w:szCs w:val="32"/>
          <w:lang w:val="fr-CA"/>
        </w:rPr>
        <w:t>镍行业正处于危机中，因为近四年来世界最大的产镍国印度尼西亚</w:t>
      </w:r>
      <w:r>
        <w:rPr>
          <w:rFonts w:ascii="宋体" w:hAnsi="宋体" w:hint="eastAsia"/>
          <w:sz w:val="32"/>
          <w:szCs w:val="32"/>
        </w:rPr>
        <w:t>产能过剩，对外倾销</w:t>
      </w:r>
      <w:r>
        <w:rPr>
          <w:rFonts w:ascii="宋体" w:hAnsi="宋体" w:hint="eastAsia"/>
          <w:sz w:val="32"/>
          <w:szCs w:val="32"/>
          <w:lang w:val="fr-CA"/>
        </w:rPr>
        <w:t>。2024年前</w:t>
      </w:r>
      <w:r>
        <w:rPr>
          <w:rFonts w:ascii="宋体" w:hAnsi="宋体" w:hint="eastAsia"/>
          <w:sz w:val="32"/>
          <w:szCs w:val="32"/>
        </w:rPr>
        <w:t>三</w:t>
      </w:r>
      <w:r>
        <w:rPr>
          <w:rFonts w:ascii="宋体" w:hAnsi="宋体" w:hint="eastAsia"/>
          <w:sz w:val="32"/>
          <w:szCs w:val="32"/>
          <w:lang w:val="fr-CA"/>
        </w:rPr>
        <w:t>个月，能源价格暴涨、镍产量降低了32%，也是这场危机的原因。此外每吨镍的价格也在2023年下跌了45%。</w:t>
      </w:r>
    </w:p>
    <w:p w14:paraId="6C19F31D" w14:textId="77777777"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镍和锰的价格骤降，沉重打击了法国矿业垄断集团埃赫曼集团（Eramet），其净收入降低了85%，仅剩1.09亿欧元，不得不将自己员工最多的子公司——卡纳基的镍公司（Société Le Nickel）的关联资产</w:t>
      </w:r>
      <w:r>
        <w:rPr>
          <w:rFonts w:ascii="宋体" w:hAnsi="宋体" w:hint="eastAsia"/>
          <w:sz w:val="32"/>
          <w:szCs w:val="32"/>
        </w:rPr>
        <w:t>减</w:t>
      </w:r>
      <w:r>
        <w:rPr>
          <w:rFonts w:ascii="宋体" w:hAnsi="宋体" w:hint="eastAsia"/>
          <w:sz w:val="32"/>
          <w:szCs w:val="32"/>
          <w:lang w:val="fr-CA"/>
        </w:rPr>
        <w:t>值2.18亿欧元。在北部省，嘉能可公司（Glencore）在3月宣布退出卡纳基，</w:t>
      </w:r>
      <w:r>
        <w:rPr>
          <w:rFonts w:ascii="宋体" w:hAnsi="宋体" w:hint="eastAsia"/>
          <w:sz w:val="32"/>
          <w:szCs w:val="32"/>
        </w:rPr>
        <w:t>于是</w:t>
      </w:r>
      <w:r>
        <w:rPr>
          <w:rFonts w:ascii="宋体" w:hAnsi="宋体" w:hint="eastAsia"/>
          <w:sz w:val="32"/>
          <w:szCs w:val="32"/>
          <w:lang w:val="fr-CA"/>
        </w:rPr>
        <w:t>科尼安博镍矿（KNS）</w:t>
      </w:r>
      <w:r>
        <w:rPr>
          <w:rFonts w:ascii="宋体" w:hAnsi="宋体" w:hint="eastAsia"/>
          <w:sz w:val="32"/>
          <w:szCs w:val="32"/>
        </w:rPr>
        <w:t>中止运营</w:t>
      </w:r>
      <w:r>
        <w:rPr>
          <w:rFonts w:ascii="宋体" w:hAnsi="宋体" w:hint="eastAsia"/>
          <w:sz w:val="32"/>
          <w:szCs w:val="32"/>
          <w:lang w:val="fr-CA"/>
        </w:rPr>
        <w:t>。如果8月前无人接手嘉能可的产业，那么它就要辞退1750名员工。在南部省，</w:t>
      </w:r>
      <w:r>
        <w:rPr>
          <w:rFonts w:ascii="宋体" w:hAnsi="宋体" w:hint="eastAsia"/>
          <w:sz w:val="32"/>
          <w:szCs w:val="32"/>
        </w:rPr>
        <w:t>瑞士</w:t>
      </w:r>
      <w:r>
        <w:rPr>
          <w:rFonts w:ascii="宋体" w:hAnsi="宋体" w:hint="eastAsia"/>
          <w:sz w:val="32"/>
          <w:szCs w:val="32"/>
          <w:lang w:val="fr-CA"/>
        </w:rPr>
        <w:t>经销商托克公司（Trafigura）已退出，普罗尼资源公司（Prony Ressources）的矿厂也正在寻求新的合作伙伴。</w:t>
      </w:r>
    </w:p>
    <w:p w14:paraId="3A908271" w14:textId="6B8A8452"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新喀里多尼亚产业工人总工会（SGTI-NC）是一个隶属于法国职员工会-企业行政和技术人员总工会（CFE-CGC）的工会。1月25日，该工会发起罢工，</w:t>
      </w:r>
      <w:r w:rsidR="008360BC">
        <w:rPr>
          <w:rFonts w:ascii="宋体" w:hAnsi="宋体" w:hint="eastAsia"/>
          <w:sz w:val="32"/>
          <w:szCs w:val="32"/>
          <w:lang w:val="fr-CA"/>
        </w:rPr>
        <w:t>敦促</w:t>
      </w:r>
      <w:r>
        <w:rPr>
          <w:rFonts w:ascii="宋体" w:hAnsi="宋体" w:hint="eastAsia"/>
          <w:sz w:val="32"/>
          <w:szCs w:val="32"/>
          <w:lang w:val="fr-CA"/>
        </w:rPr>
        <w:t>卡纳基的三家镍矿精炼公司的股东们参与行业重建。类似的罢工发生了多次。镍矿行业对于建设绿色资本主义有重要战略意义。</w:t>
      </w:r>
      <w:r>
        <w:rPr>
          <w:rFonts w:ascii="宋体" w:hAnsi="宋体" w:hint="eastAsia"/>
          <w:sz w:val="32"/>
          <w:szCs w:val="32"/>
          <w:lang w:val="fr-CA"/>
        </w:rPr>
        <w:lastRenderedPageBreak/>
        <w:t>为了拯救这个行业，马克龙和阿塔尔的政府曾在11月提出一份“镍协议”，计划帮助矿厂克服能源价格问题，卡纳基政府承担三分之一的资助，法国</w:t>
      </w:r>
      <w:r>
        <w:rPr>
          <w:rFonts w:ascii="宋体" w:hAnsi="宋体" w:hint="eastAsia"/>
          <w:sz w:val="32"/>
          <w:szCs w:val="32"/>
        </w:rPr>
        <w:t>政府</w:t>
      </w:r>
      <w:r>
        <w:rPr>
          <w:rFonts w:ascii="宋体" w:hAnsi="宋体" w:hint="eastAsia"/>
          <w:sz w:val="32"/>
          <w:szCs w:val="32"/>
          <w:lang w:val="fr-CA"/>
        </w:rPr>
        <w:t>承担三分之二</w:t>
      </w:r>
      <w:r>
        <w:rPr>
          <w:rFonts w:ascii="宋体" w:hAnsi="宋体" w:hint="eastAsia"/>
          <w:sz w:val="32"/>
          <w:szCs w:val="32"/>
        </w:rPr>
        <w:t>的资助</w:t>
      </w:r>
      <w:r>
        <w:rPr>
          <w:rFonts w:ascii="宋体" w:hAnsi="宋体" w:hint="eastAsia"/>
          <w:sz w:val="32"/>
          <w:szCs w:val="32"/>
          <w:lang w:val="fr-CA"/>
        </w:rPr>
        <w:t>。这就可能让卡纳基陷入无法维持的负债境地，债务将上升到总预算的153%，独立派</w:t>
      </w:r>
      <w:r w:rsidR="008360BC">
        <w:rPr>
          <w:rFonts w:ascii="宋体" w:hAnsi="宋体" w:hint="eastAsia"/>
          <w:sz w:val="32"/>
          <w:szCs w:val="32"/>
          <w:lang w:val="fr-CA"/>
        </w:rPr>
        <w:t>对此</w:t>
      </w:r>
      <w:r>
        <w:rPr>
          <w:rFonts w:ascii="宋体" w:hAnsi="宋体" w:hint="eastAsia"/>
          <w:sz w:val="32"/>
          <w:szCs w:val="32"/>
          <w:lang w:val="fr-CA"/>
        </w:rPr>
        <w:t>的回复是“想都别想”。还有另外一种可能性：3月，在卡纳基议会中，喀里多尼亚联盟-卡纳克社会主义民族解放阵线和民族主义者们提请议会投票批准成立“镍矿输出国组织”或“产镍国组织”，就像石油输出国组织（OPEP）那样。</w:t>
      </w:r>
    </w:p>
    <w:p w14:paraId="54E8F9E6" w14:textId="3C032963"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喀里多尼亚联盟-卡纳克社会主义民族解放阵线的领导人、卡纳克议会中民族主义者的领袖皮埃尔-查纳·图图戈罗（Pierre-Chanel Tutugoro）解释说，这一设想萌发于2013年，“而我们今天重新提出这个想法，是因为我们认为：是时候采取具体措施、与其他太平洋地区的产镍国，尤其是印度尼西亚、菲律宾等对此有兴趣的国家开展讨论，研究如何最优地、完全负责任地开采资源”。他认为，重点“是要维持镍矿价格的相对稳定性……我们本地的矿床要维持稳定的生产成本，才能维持就业和镍矿的运营”。</w:t>
      </w:r>
    </w:p>
    <w:p w14:paraId="08C7C606" w14:textId="71F57EDD"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卡纳克议会第三任副主席西尔万·帕布图（Sylvain Pabouty）认为，印度尼西亚“加入此类机构完全有利可图……它可以与他国的标准和规范接轨”，这样它的镍矿“不仅能出口到中国，还能出口到欧洲”，解决经济上依赖中国所产生的问题，以及致命事故问题、环境</w:t>
      </w:r>
      <w:r w:rsidR="008360BC">
        <w:rPr>
          <w:rFonts w:ascii="宋体" w:hAnsi="宋体" w:hint="eastAsia"/>
          <w:sz w:val="32"/>
          <w:szCs w:val="32"/>
          <w:lang w:val="fr-CA"/>
        </w:rPr>
        <w:t>破坏</w:t>
      </w:r>
      <w:r>
        <w:rPr>
          <w:rFonts w:ascii="宋体" w:hAnsi="宋体" w:hint="eastAsia"/>
          <w:sz w:val="32"/>
          <w:szCs w:val="32"/>
          <w:lang w:val="fr-CA"/>
        </w:rPr>
        <w:t>问题。</w:t>
      </w:r>
    </w:p>
    <w:p w14:paraId="73048302" w14:textId="1FBE7EE3"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lastRenderedPageBreak/>
        <w:t>除去镍产业外，法帝国主义与卡纳基的联系还体现在银行系统方面：BPCE银行以喀里多尼亚投资银行（BCI）、BPCE努美阿融资</w:t>
      </w:r>
      <w:r w:rsidR="008360BC">
        <w:rPr>
          <w:rFonts w:ascii="宋体" w:hAnsi="宋体" w:hint="eastAsia"/>
          <w:sz w:val="32"/>
          <w:szCs w:val="32"/>
          <w:lang w:val="fr-CA"/>
        </w:rPr>
        <w:t>公司</w:t>
      </w:r>
      <w:r>
        <w:rPr>
          <w:rFonts w:ascii="宋体" w:hAnsi="宋体" w:hint="eastAsia"/>
          <w:sz w:val="32"/>
          <w:szCs w:val="32"/>
          <w:lang w:val="fr-CA"/>
        </w:rPr>
        <w:t>（BPCE Lease Noumea）、新喀里多尼亚银行（BNC）的名义在此开展业务；法国兴业银行（SG）也是一样，通过喀里多尼亚兴业银行（SGCB）、喀里多尼亚融资公司（Socalfi）开展业务。这些也都是加深帝国主义之间矛盾的因素。</w:t>
      </w:r>
    </w:p>
    <w:p w14:paraId="0F22D1B9" w14:textId="77777777" w:rsidR="00721E4D" w:rsidRDefault="007173D1">
      <w:pPr>
        <w:spacing w:before="60" w:after="60" w:line="480" w:lineRule="exact"/>
        <w:ind w:firstLine="640"/>
        <w:rPr>
          <w:rFonts w:ascii="宋体" w:hAnsi="宋体" w:hint="eastAsia"/>
          <w:sz w:val="32"/>
          <w:szCs w:val="32"/>
          <w:lang w:val="fr-CA"/>
        </w:rPr>
      </w:pPr>
      <w:r>
        <w:rPr>
          <w:rFonts w:ascii="黑体" w:eastAsia="黑体" w:hAnsi="黑体" w:cs="黑体" w:hint="eastAsia"/>
          <w:sz w:val="32"/>
          <w:szCs w:val="32"/>
          <w:lang w:val="fr-CA"/>
        </w:rPr>
        <w:t>□□将卡纳基视作“关键目标”，</w:t>
      </w:r>
      <w:r>
        <w:rPr>
          <w:rFonts w:ascii="宋体" w:hAnsi="宋体" w:hint="eastAsia"/>
          <w:sz w:val="32"/>
          <w:szCs w:val="32"/>
          <w:lang w:val="fr-CA"/>
        </w:rPr>
        <w:t>向其发起宣传运动，要把它纳入自己的影响力网络之中。□□也是“美拉尼西亚先锋集团”（</w:t>
      </w:r>
      <w:r>
        <w:rPr>
          <w:rFonts w:ascii="宋体" w:hAnsi="宋体" w:hint="eastAsia"/>
          <w:sz w:val="32"/>
          <w:szCs w:val="32"/>
        </w:rPr>
        <w:t>Melanesian Spearhead Group</w:t>
      </w:r>
      <w:r>
        <w:rPr>
          <w:rFonts w:ascii="宋体" w:hAnsi="宋体" w:hint="eastAsia"/>
          <w:sz w:val="32"/>
          <w:szCs w:val="32"/>
          <w:lang w:val="fr-CA"/>
        </w:rPr>
        <w:t>）的首要赞助国，该集团于1986年成立，宗旨是“促进和加强成员间的贸易，文化、传统、经济、美拉尼西亚价值观的交流以及主权平等”、“助力成员间的经济和技术合作”、“协调成员国的政策来推动经济增长、可持续发展、良政和安全等共同目标”。除印度尼西亚外，该集团的成员还有东帝汶、“</w:t>
      </w:r>
      <w:r>
        <w:rPr>
          <w:rFonts w:ascii="宋体" w:hAnsi="宋体" w:hint="eastAsia"/>
          <w:sz w:val="32"/>
          <w:szCs w:val="32"/>
        </w:rPr>
        <w:t>西巴布亚联合解放运动</w:t>
      </w:r>
      <w:r>
        <w:rPr>
          <w:rFonts w:ascii="宋体" w:hAnsi="宋体" w:hint="eastAsia"/>
          <w:sz w:val="32"/>
          <w:szCs w:val="32"/>
          <w:lang w:val="fr-CA"/>
        </w:rPr>
        <w:t>”（Mouvement uni pour la libération de la Papouasie occidentale）、瓦努阿图、斐济群岛、所罗门群岛、巴布亚新几内亚、卡纳克社会主义民族解放阵线。“新喀里多尼亚-□□友好协会”的两名领导人曾与喀里多尼亚联盟-卡纳克社会主义民族解放阵线的积极活动家及现任主席——罗赫·瓦米坦（Roch Wamytan）有过合作。除此之外，还有一个“□□人民对外友好协会”（APCAE）。借助这两个组织，□□和卡纳基的关系更加紧密。</w:t>
      </w:r>
    </w:p>
    <w:p w14:paraId="45D4728F" w14:textId="6A485EE7" w:rsidR="00721E4D" w:rsidRDefault="007173D1">
      <w:pPr>
        <w:spacing w:before="60" w:after="60" w:line="480" w:lineRule="exact"/>
        <w:ind w:firstLine="640"/>
        <w:rPr>
          <w:rFonts w:ascii="宋体" w:hAnsi="宋体" w:hint="eastAsia"/>
          <w:sz w:val="32"/>
          <w:szCs w:val="32"/>
          <w:lang w:val="fr-CA"/>
        </w:rPr>
      </w:pPr>
      <w:r>
        <w:rPr>
          <w:rFonts w:ascii="黑体" w:eastAsia="黑体" w:hAnsi="黑体" w:cs="黑体" w:hint="eastAsia"/>
          <w:sz w:val="32"/>
          <w:szCs w:val="32"/>
          <w:lang w:val="fr-CA"/>
        </w:rPr>
        <w:lastRenderedPageBreak/>
        <w:t>为了寻求国际支持，卡纳克社会主义民族解放阵线与阿塞拜疆建立了紧密联系，而阿塞拜疆这个国家是与俄罗斯垄断组织的利益相关联的。</w:t>
      </w:r>
      <w:r>
        <w:rPr>
          <w:rFonts w:ascii="宋体" w:hAnsi="宋体" w:hint="eastAsia"/>
          <w:sz w:val="32"/>
          <w:szCs w:val="32"/>
          <w:lang w:val="fr-CA"/>
        </w:rPr>
        <w:t>4月底，喀里多尼亚联盟-卡纳克社会主义民族解放阵线的卡纳克议会议员奥麦拉·奈瑟琳（Omayra Naisseline）在巴库会见了阿塞拜疆国民议会主席</w:t>
      </w:r>
      <w:r>
        <w:rPr>
          <w:rFonts w:ascii="宋体" w:hAnsi="宋体" w:hint="eastAsia"/>
          <w:sz w:val="32"/>
          <w:szCs w:val="32"/>
        </w:rPr>
        <w:t>萨</w:t>
      </w:r>
      <w:r w:rsidR="00444BDF">
        <w:rPr>
          <w:rFonts w:ascii="宋体" w:hAnsi="宋体" w:hint="eastAsia"/>
          <w:sz w:val="32"/>
          <w:szCs w:val="32"/>
        </w:rPr>
        <w:t>希</w:t>
      </w:r>
      <w:r>
        <w:rPr>
          <w:rFonts w:ascii="宋体" w:hAnsi="宋体" w:hint="eastAsia"/>
          <w:sz w:val="32"/>
          <w:szCs w:val="32"/>
        </w:rPr>
        <w:t>芭·加法罗娃</w:t>
      </w:r>
      <w:r>
        <w:rPr>
          <w:rFonts w:ascii="宋体" w:hAnsi="宋体" w:hint="eastAsia"/>
          <w:sz w:val="32"/>
          <w:szCs w:val="32"/>
          <w:lang w:val="fr-CA"/>
        </w:rPr>
        <w:t>（Sahiba Gafarova），签署了合作备忘录。在当地报纸上，这位卡纳克议员公开感谢阿塞拜疆政府“支持卡纳克人民的斗争”，并“向我们两国间建立的友谊致意”。罗赫·瓦米坦也说：“鉴于马克龙总统抛弃了《马提翁协议》以来的公正立场，我们必须寻找外部支持。我们必须走出去，才能让世人听见我们的声音。”这一事件产生了炸弹般的效果：反对独立、捍卫法帝国主义利益的政治组织忠诚派联盟（Loyalistes）和</w:t>
      </w:r>
      <w:r>
        <w:rPr>
          <w:rFonts w:ascii="宋体" w:hAnsi="宋体" w:hint="eastAsia"/>
          <w:sz w:val="32"/>
          <w:szCs w:val="32"/>
        </w:rPr>
        <w:t>联盟党</w:t>
      </w:r>
      <w:r>
        <w:rPr>
          <w:rFonts w:ascii="宋体" w:hAnsi="宋体" w:hint="eastAsia"/>
          <w:sz w:val="32"/>
          <w:szCs w:val="32"/>
          <w:lang w:val="fr-CA"/>
        </w:rPr>
        <w:t>（Rassemblement）宣布要向国家检察官提出申诉。</w:t>
      </w:r>
    </w:p>
    <w:p w14:paraId="023BB550" w14:textId="13CAE73A"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卡纳克社会主义民族解放阵线也和巴库倡议集团（</w:t>
      </w:r>
      <w:r w:rsidR="00444BDF" w:rsidRPr="00444BDF">
        <w:rPr>
          <w:rFonts w:ascii="宋体" w:hAnsi="宋体"/>
          <w:sz w:val="32"/>
          <w:szCs w:val="32"/>
          <w:lang w:val="fr-CA"/>
        </w:rPr>
        <w:t>Groupe d’Initiative de Bakou (GIB)</w:t>
      </w:r>
      <w:r>
        <w:rPr>
          <w:rFonts w:ascii="宋体" w:hAnsi="宋体" w:hint="eastAsia"/>
          <w:sz w:val="32"/>
          <w:szCs w:val="32"/>
          <w:lang w:val="fr-CA"/>
        </w:rPr>
        <w:t>）维持着紧密联系。巴库倡议集团的</w:t>
      </w:r>
      <w:r>
        <w:rPr>
          <w:rFonts w:ascii="宋体" w:hAnsi="宋体" w:hint="eastAsia"/>
          <w:sz w:val="32"/>
          <w:szCs w:val="32"/>
        </w:rPr>
        <w:t>总部设在</w:t>
      </w:r>
      <w:r>
        <w:rPr>
          <w:rFonts w:ascii="宋体" w:hAnsi="宋体" w:hint="eastAsia"/>
          <w:sz w:val="32"/>
          <w:szCs w:val="32"/>
          <w:lang w:val="fr-CA"/>
        </w:rPr>
        <w:t>巴库，成立于2023年7月，宗旨是“支持反对（法国）殖民主义和新殖民主义的战斗”。5月16日，卡纳克社会主义民族解放阵线、法国青年卡纳克运动、巴库倡议集团和另外12个法国海外殖民地的独立派运动组织联署了一份公报，表示“彻底支持卡纳克人民，支持他们正在开展的反对选民资格解冻、要求撤销这份法律改革计划的斗争”。这些组织谴责“（政府）诉诸武力”，并呼吁“法国停止殖民行径、让卡纳克人民</w:t>
      </w:r>
      <w:r>
        <w:rPr>
          <w:rFonts w:ascii="宋体" w:hAnsi="宋体" w:hint="eastAsia"/>
          <w:sz w:val="32"/>
          <w:szCs w:val="32"/>
          <w:lang w:val="fr-CA"/>
        </w:rPr>
        <w:lastRenderedPageBreak/>
        <w:t>享有自由决定出路的权利！”</w:t>
      </w:r>
    </w:p>
    <w:p w14:paraId="47A77DFA" w14:textId="5DDB55D3" w:rsidR="00721E4D" w:rsidRDefault="007173D1">
      <w:pPr>
        <w:spacing w:before="60" w:after="60" w:line="480" w:lineRule="exact"/>
        <w:ind w:firstLine="640"/>
        <w:rPr>
          <w:rFonts w:ascii="宋体" w:hAnsi="宋体" w:hint="eastAsia"/>
          <w:sz w:val="32"/>
          <w:szCs w:val="32"/>
          <w:lang w:val="fr-CA"/>
        </w:rPr>
      </w:pPr>
      <w:r>
        <w:rPr>
          <w:rFonts w:ascii="黑体" w:eastAsia="黑体" w:hAnsi="黑体" w:cs="黑体" w:hint="eastAsia"/>
          <w:sz w:val="32"/>
          <w:szCs w:val="32"/>
          <w:lang w:val="fr-CA"/>
        </w:rPr>
        <w:t>澳大利亚</w:t>
      </w:r>
      <w:r>
        <w:rPr>
          <w:rFonts w:ascii="宋体" w:hAnsi="宋体" w:hint="eastAsia"/>
          <w:sz w:val="32"/>
          <w:szCs w:val="32"/>
          <w:lang w:val="fr-CA"/>
        </w:rPr>
        <w:t>也对卡纳基群岛的资源感兴趣，因为它能让澳大利亚进入太平洋。</w:t>
      </w:r>
      <w:r>
        <w:rPr>
          <w:rFonts w:ascii="黑体" w:eastAsia="黑体" w:hAnsi="黑体" w:cs="黑体" w:hint="eastAsia"/>
          <w:sz w:val="32"/>
          <w:szCs w:val="32"/>
          <w:lang w:val="fr-CA"/>
        </w:rPr>
        <w:t>美国</w:t>
      </w:r>
      <w:r>
        <w:rPr>
          <w:rFonts w:ascii="宋体" w:hAnsi="宋体" w:hint="eastAsia"/>
          <w:sz w:val="32"/>
          <w:szCs w:val="32"/>
          <w:lang w:val="fr-CA"/>
        </w:rPr>
        <w:t>也要在卡纳基保护本国垄断组织的利益：它将镍列为必须保证供应的关键金属，也很清楚该群岛所处的战略位置。美国（在卡纳基）的经济影响力与中国相当，尤其是在镍行业：2021年3月，南方工厂（South Factory）的前股东——新喀里多尼亚瓦尔公司（Vale NC）把自己的股份出让给了多方团体，包括一个卡纳基财团和一个名为Agio Global的澳大利亚投资基金。与此同时，美国汽车制造商特斯拉也与南部</w:t>
      </w:r>
      <w:r w:rsidR="008360BC">
        <w:rPr>
          <w:rFonts w:ascii="宋体" w:hAnsi="宋体" w:hint="eastAsia"/>
          <w:sz w:val="32"/>
          <w:szCs w:val="32"/>
          <w:lang w:val="fr-CA"/>
        </w:rPr>
        <w:t>省</w:t>
      </w:r>
      <w:r>
        <w:rPr>
          <w:rFonts w:ascii="宋体" w:hAnsi="宋体" w:hint="eastAsia"/>
          <w:sz w:val="32"/>
          <w:szCs w:val="32"/>
          <w:lang w:val="fr-CA"/>
        </w:rPr>
        <w:t>的工厂签订了供货协议。澳大利亚和美国还通过澳英美联盟（AUKUS）明确表示：它们不愿意与法国在太平洋展开全面战略合作。我们应该把这一选择视作该地区帝国主义国家之间的矛盾。</w:t>
      </w:r>
    </w:p>
    <w:p w14:paraId="7F98B756" w14:textId="72AA52F9"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卡纳克人民要求完全享有自决权、选择自己的发展模式的诉求是正当的。法国全体劳动者们应当无条件地支持这些诉求。然而，不能为了满足上述诉求，</w:t>
      </w:r>
      <w:r w:rsidR="00444BDF">
        <w:rPr>
          <w:rFonts w:ascii="宋体" w:hAnsi="宋体" w:hint="eastAsia"/>
          <w:sz w:val="32"/>
          <w:szCs w:val="32"/>
          <w:lang w:val="fr-CA"/>
        </w:rPr>
        <w:t>就</w:t>
      </w:r>
      <w:r>
        <w:rPr>
          <w:rFonts w:ascii="宋体" w:hAnsi="宋体" w:hint="eastAsia"/>
          <w:sz w:val="32"/>
          <w:szCs w:val="32"/>
          <w:lang w:val="fr-CA"/>
        </w:rPr>
        <w:t>去和那些与法国一样完全卷入原材料新产地和新销路之争的国家结盟或紧密合作。</w:t>
      </w:r>
    </w:p>
    <w:p w14:paraId="20BE5515" w14:textId="77777777" w:rsidR="00721E4D" w:rsidRDefault="007173D1">
      <w:pPr>
        <w:spacing w:before="60" w:after="60" w:line="480" w:lineRule="exact"/>
        <w:ind w:firstLine="640"/>
        <w:rPr>
          <w:rFonts w:ascii="黑体" w:eastAsia="黑体" w:hAnsi="黑体" w:cs="黑体" w:hint="eastAsia"/>
          <w:sz w:val="32"/>
          <w:szCs w:val="32"/>
          <w:lang w:val="fr-CA"/>
        </w:rPr>
      </w:pPr>
      <w:r>
        <w:rPr>
          <w:rFonts w:ascii="黑体" w:eastAsia="黑体" w:hAnsi="黑体" w:cs="黑体" w:hint="eastAsia"/>
          <w:sz w:val="32"/>
          <w:szCs w:val="32"/>
          <w:lang w:val="fr-CA"/>
        </w:rPr>
        <w:t>卡纳克人民、工人阶级及其处于先锋地位的党应当找到自己的发展道路，即一切生产资料社会化的道路、社会主义-共产主义的道路。</w:t>
      </w:r>
    </w:p>
    <w:p w14:paraId="40D2BD67" w14:textId="66CFF910"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同样的问题也沉重打击着法国劳动者们：生活开销十分昂贵、就业率断崖下跌和工业设备遭到破坏。在充分利</w:t>
      </w:r>
      <w:r>
        <w:rPr>
          <w:rFonts w:ascii="宋体" w:hAnsi="宋体" w:hint="eastAsia"/>
          <w:sz w:val="32"/>
          <w:szCs w:val="32"/>
          <w:lang w:val="fr-CA"/>
        </w:rPr>
        <w:lastRenderedPageBreak/>
        <w:t>用自己的自决权等问题上，法国劳动者的利益和卡纳克人民的利益是一致的。</w:t>
      </w:r>
      <w:r w:rsidR="00444BDF">
        <w:rPr>
          <w:rFonts w:ascii="宋体" w:hAnsi="宋体" w:hint="eastAsia"/>
          <w:sz w:val="32"/>
          <w:szCs w:val="32"/>
          <w:lang w:val="fr-CA"/>
        </w:rPr>
        <w:t>与</w:t>
      </w:r>
      <w:r>
        <w:rPr>
          <w:rFonts w:ascii="宋体" w:hAnsi="宋体" w:hint="eastAsia"/>
          <w:sz w:val="32"/>
          <w:szCs w:val="32"/>
          <w:lang w:val="fr-CA"/>
        </w:rPr>
        <w:t>在法国一样，在卡纳基也必须建立工人阶级领导的广泛而坚定的阶级战线，来扭转权力对比，抗衡资本主义垄断组织和殖民者势力，并与法国工人阶级及其阶级组织建立稳定的联系。卡纳克工人与被剥削者工会也应当与世界工会联合会（World Federation Of Trade Unions</w:t>
      </w:r>
      <w:r>
        <w:rPr>
          <w:rFonts w:ascii="宋体" w:hAnsi="宋体" w:hint="eastAsia"/>
          <w:sz w:val="32"/>
          <w:szCs w:val="32"/>
        </w:rPr>
        <w:t xml:space="preserve"> </w:t>
      </w:r>
      <w:r>
        <w:rPr>
          <w:rFonts w:ascii="宋体" w:hAnsi="宋体" w:hint="eastAsia"/>
          <w:sz w:val="32"/>
          <w:szCs w:val="32"/>
          <w:lang w:val="fr-CA"/>
        </w:rPr>
        <w:t>(</w:t>
      </w:r>
      <w:r>
        <w:rPr>
          <w:rFonts w:ascii="宋体" w:hAnsi="宋体" w:hint="eastAsia"/>
          <w:sz w:val="32"/>
          <w:szCs w:val="32"/>
        </w:rPr>
        <w:t>WFTU</w:t>
      </w:r>
      <w:r>
        <w:rPr>
          <w:rFonts w:ascii="宋体" w:hAnsi="宋体" w:hint="eastAsia"/>
          <w:sz w:val="32"/>
          <w:szCs w:val="32"/>
          <w:lang w:val="fr-CA"/>
        </w:rPr>
        <w:t>)）建立联系，甚至应当加入其中，如果它尚未加入的话。世界工会联合会是1945年成立的国际工会组织，它因清晰的阶级路线和声援各国人民争取自决的斗争而闻名。</w:t>
      </w:r>
    </w:p>
    <w:p w14:paraId="6FB8E9CA" w14:textId="5872D3B7" w:rsidR="00721E4D" w:rsidRDefault="007173D1">
      <w:pPr>
        <w:spacing w:before="60" w:after="60" w:line="480" w:lineRule="exact"/>
        <w:ind w:firstLine="640"/>
        <w:rPr>
          <w:rFonts w:ascii="宋体" w:hAnsi="宋体" w:hint="eastAsia"/>
          <w:sz w:val="32"/>
          <w:szCs w:val="32"/>
          <w:lang w:val="fr-CA"/>
        </w:rPr>
      </w:pPr>
      <w:r>
        <w:rPr>
          <w:rFonts w:ascii="宋体" w:hAnsi="宋体" w:hint="eastAsia"/>
          <w:sz w:val="32"/>
          <w:szCs w:val="32"/>
          <w:lang w:val="fr-CA"/>
        </w:rPr>
        <w:t>自决权指的是：在本国经济、政治、社会和文化生活中，自由地、民主地、不受限制地、不受要挟地行使完整的主权。和其他民族的自决权一样，卡纳克人民必须开展反对法帝国主义反动势力、争取卡纳基完整主权的民族解放斗争，才能实现本民族的自决权。这种主权不是资本主义-帝国主义框架下的主权，而只能是社会主义-共产主义框架下的主权。社会主义-共产主义这种生产方式</w:t>
      </w:r>
      <w:r w:rsidR="00444BDF">
        <w:rPr>
          <w:rFonts w:ascii="宋体" w:hAnsi="宋体" w:hint="eastAsia"/>
          <w:sz w:val="32"/>
          <w:szCs w:val="32"/>
          <w:lang w:val="fr-CA"/>
        </w:rPr>
        <w:t>的基础是</w:t>
      </w:r>
      <w:r>
        <w:rPr>
          <w:rFonts w:ascii="宋体" w:hAnsi="宋体" w:hint="eastAsia"/>
          <w:sz w:val="32"/>
          <w:szCs w:val="32"/>
          <w:lang w:val="fr-CA"/>
        </w:rPr>
        <w:t>以下要素：由社会中所有劳动者享有一切生产和交换资料的集体所有权；建立他们自己的、基于民主集中的生产计划的国家机关，来解决民众和土地的需求。</w:t>
      </w:r>
    </w:p>
    <w:p w14:paraId="23EDCE44" w14:textId="48310A8B" w:rsidR="00721E4D" w:rsidRDefault="007173D1">
      <w:pPr>
        <w:spacing w:before="60" w:after="60" w:line="480" w:lineRule="exact"/>
        <w:ind w:firstLine="640"/>
        <w:rPr>
          <w:rFonts w:ascii="黑体" w:eastAsia="黑体" w:hAnsi="黑体" w:cs="黑体" w:hint="eastAsia"/>
          <w:sz w:val="32"/>
          <w:szCs w:val="32"/>
        </w:rPr>
      </w:pPr>
      <w:r>
        <w:rPr>
          <w:rFonts w:ascii="黑体" w:eastAsia="黑体" w:hAnsi="黑体" w:cs="黑体" w:hint="eastAsia"/>
          <w:sz w:val="32"/>
          <w:szCs w:val="32"/>
          <w:lang w:val="fr-CA"/>
        </w:rPr>
        <w:t>我们法国革命共产党（Parti Communiste Révolutionnaire de France (PCRF)）向卡纳基独立派力量表达完全的兄弟般的支持。我党重申：我们要结束殖民统治、结束殖民遗产，我们要保卫“海外省和海外领地各族</w:t>
      </w:r>
      <w:r>
        <w:rPr>
          <w:rFonts w:ascii="黑体" w:eastAsia="黑体" w:hAnsi="黑体" w:cs="黑体" w:hint="eastAsia"/>
          <w:sz w:val="32"/>
          <w:szCs w:val="32"/>
          <w:lang w:val="fr-CA"/>
        </w:rPr>
        <w:lastRenderedPageBreak/>
        <w:t>人民享有的自决权，直至分离权”，我们决心推进这样的处理办法：“有决定权的人仅限于自己和父母都出生于该领土的人，不允许外来者决定”，来保障该民族拥有掌握自己未来的实际能力。</w:t>
      </w:r>
      <w:r>
        <w:rPr>
          <w:rFonts w:ascii="宋体" w:hAnsi="宋体" w:hint="eastAsia"/>
          <w:sz w:val="32"/>
          <w:szCs w:val="32"/>
          <w:lang w:val="fr-CA"/>
        </w:rPr>
        <w:t>（本段引自法国革命共产党纲领的第二部分。）</w:t>
      </w:r>
    </w:p>
    <w:p w14:paraId="750EBF1F" w14:textId="3EBBE5A0" w:rsidR="00721E4D" w:rsidRDefault="007173D1">
      <w:pPr>
        <w:spacing w:before="60" w:after="60" w:line="480" w:lineRule="exact"/>
        <w:ind w:firstLine="640"/>
        <w:rPr>
          <w:rFonts w:ascii="黑体" w:eastAsia="黑体" w:hAnsi="黑体" w:cs="黑体" w:hint="eastAsia"/>
          <w:sz w:val="32"/>
          <w:szCs w:val="32"/>
          <w:lang w:val="fr-CA"/>
        </w:rPr>
      </w:pPr>
      <w:r>
        <w:rPr>
          <w:rFonts w:ascii="黑体" w:eastAsia="黑体" w:hAnsi="黑体" w:cs="黑体" w:hint="eastAsia"/>
          <w:sz w:val="32"/>
          <w:szCs w:val="32"/>
          <w:lang w:val="fr-CA"/>
        </w:rPr>
        <w:t>如果在法国实现了社会主义-共产主义，那么不论卡纳克人民做何种决定（分离出去并成立独立国家，或是仍属于劳动者领导的社会主义法国），社会主义法国都将为卡纳基</w:t>
      </w:r>
      <w:r w:rsidR="00444BDF">
        <w:rPr>
          <w:rFonts w:ascii="黑体" w:eastAsia="黑体" w:hAnsi="黑体" w:cs="黑体" w:hint="eastAsia"/>
          <w:sz w:val="32"/>
          <w:szCs w:val="32"/>
          <w:lang w:val="fr-CA"/>
        </w:rPr>
        <w:t>的发展</w:t>
      </w:r>
      <w:r>
        <w:rPr>
          <w:rFonts w:ascii="黑体" w:eastAsia="黑体" w:hAnsi="黑体" w:cs="黑体" w:hint="eastAsia"/>
          <w:sz w:val="32"/>
          <w:szCs w:val="32"/>
          <w:lang w:val="fr-CA"/>
        </w:rPr>
        <w:t>提供团结性的援助，并抹掉一切资本主义-帝国主义遗产和殖民遗产，而且还要推进解放政策和促进卡纳克的民族文化。</w:t>
      </w:r>
      <w:bookmarkEnd w:id="2"/>
      <w:bookmarkEnd w:id="3"/>
      <w:bookmarkEnd w:id="4"/>
      <w:bookmarkEnd w:id="5"/>
      <w:bookmarkEnd w:id="6"/>
    </w:p>
    <w:sectPr w:rsidR="00721E4D" w:rsidSect="0056794C">
      <w:footerReference w:type="default" r:id="rId23"/>
      <w:footnotePr>
        <w:numRestart w:val="eachSect"/>
      </w:footnotePr>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D7ED5" w14:textId="77777777" w:rsidR="00721E4D" w:rsidRDefault="007173D1">
      <w:pPr>
        <w:spacing w:line="240" w:lineRule="auto"/>
        <w:ind w:firstLine="560"/>
      </w:pPr>
      <w:r>
        <w:separator/>
      </w:r>
    </w:p>
  </w:endnote>
  <w:endnote w:type="continuationSeparator" w:id="0">
    <w:p w14:paraId="0C7B4E4F" w14:textId="77777777" w:rsidR="00721E4D" w:rsidRDefault="007173D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F445" w14:textId="77777777" w:rsidR="00721E4D" w:rsidRDefault="00721E4D">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9FB52" w14:textId="77777777" w:rsidR="00721E4D" w:rsidRDefault="00721E4D">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01ED" w14:textId="77777777" w:rsidR="00721E4D" w:rsidRDefault="00721E4D">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F647" w14:textId="77777777" w:rsidR="00721E4D" w:rsidRDefault="007173D1">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2CED5" w14:textId="77777777" w:rsidR="00721E4D" w:rsidRDefault="007173D1">
      <w:pPr>
        <w:ind w:firstLine="560"/>
      </w:pPr>
      <w:r>
        <w:separator/>
      </w:r>
    </w:p>
  </w:footnote>
  <w:footnote w:type="continuationSeparator" w:id="0">
    <w:p w14:paraId="019B8820" w14:textId="77777777" w:rsidR="00721E4D" w:rsidRDefault="007173D1">
      <w:pPr>
        <w:ind w:firstLine="560"/>
      </w:pPr>
      <w:r>
        <w:continuationSeparator/>
      </w:r>
    </w:p>
  </w:footnote>
  <w:footnote w:id="1">
    <w:p w14:paraId="57022268" w14:textId="77777777" w:rsidR="00721E4D" w:rsidRDefault="007173D1">
      <w:pPr>
        <w:pStyle w:val="af3"/>
        <w:ind w:firstLine="420"/>
      </w:pPr>
      <w:r>
        <w:rPr>
          <w:rStyle w:val="aff"/>
        </w:rPr>
        <w:t>[1]</w:t>
      </w:r>
      <w:r>
        <w:t xml:space="preserve"> </w:t>
      </w:r>
      <w:r>
        <w:rPr>
          <w:rFonts w:hint="eastAsia"/>
        </w:rPr>
        <w:t>时任法国总理，任期为</w:t>
      </w:r>
      <w:r>
        <w:rPr>
          <w:rFonts w:hint="eastAsia"/>
        </w:rPr>
        <w:t>2024</w:t>
      </w:r>
      <w:r>
        <w:rPr>
          <w:rFonts w:hint="eastAsia"/>
        </w:rPr>
        <w:t>年</w:t>
      </w:r>
      <w:r>
        <w:rPr>
          <w:rFonts w:hint="eastAsia"/>
        </w:rPr>
        <w:t>1</w:t>
      </w:r>
      <w:r>
        <w:rPr>
          <w:rFonts w:hint="eastAsia"/>
        </w:rPr>
        <w:t>月</w:t>
      </w:r>
      <w:r>
        <w:rPr>
          <w:rFonts w:hint="eastAsia"/>
        </w:rPr>
        <w:t>9</w:t>
      </w:r>
      <w:r>
        <w:rPr>
          <w:rFonts w:hint="eastAsia"/>
        </w:rPr>
        <w:t>日至</w:t>
      </w:r>
      <w:r>
        <w:rPr>
          <w:rFonts w:hint="eastAsia"/>
        </w:rPr>
        <w:t>2024</w:t>
      </w:r>
      <w:r>
        <w:rPr>
          <w:rFonts w:hint="eastAsia"/>
        </w:rPr>
        <w:t>年</w:t>
      </w:r>
      <w:r>
        <w:rPr>
          <w:rFonts w:hint="eastAsia"/>
        </w:rPr>
        <w:t>9</w:t>
      </w:r>
      <w:r>
        <w:rPr>
          <w:rFonts w:hint="eastAsia"/>
        </w:rPr>
        <w:t>月</w:t>
      </w:r>
      <w:r>
        <w:rPr>
          <w:rFonts w:hint="eastAsia"/>
        </w:rPr>
        <w:t>5</w:t>
      </w:r>
      <w:r>
        <w:rPr>
          <w:rFonts w:hint="eastAsia"/>
        </w:rPr>
        <w:t>日。——译注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E9DF" w14:textId="77777777" w:rsidR="00721E4D" w:rsidRDefault="00721E4D">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102A" w14:textId="77777777" w:rsidR="00721E4D" w:rsidRDefault="00721E4D">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8CFD2" w14:textId="77777777" w:rsidR="00721E4D" w:rsidRDefault="00721E4D">
    <w:pPr>
      <w:pStyle w:val="af"/>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efaultTabStop w:val="420"/>
  <w:drawingGridHorizontalSpacing w:val="140"/>
  <w:drawingGridVerticalSpacing w:val="381"/>
  <w:displayHorizontalDrawingGridEvery w:val="2"/>
  <w:noPunctuationKerning/>
  <w:characterSpacingControl w:val="doNotCompress"/>
  <w:footnotePr>
    <w:numRestart w:val="eachSect"/>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65BB6"/>
    <w:rsid w:val="00070B4C"/>
    <w:rsid w:val="00072A97"/>
    <w:rsid w:val="00077560"/>
    <w:rsid w:val="000778FD"/>
    <w:rsid w:val="00083F1F"/>
    <w:rsid w:val="00085AA0"/>
    <w:rsid w:val="0008751F"/>
    <w:rsid w:val="0009206B"/>
    <w:rsid w:val="00092DF9"/>
    <w:rsid w:val="00094FBF"/>
    <w:rsid w:val="00095AE5"/>
    <w:rsid w:val="000A16D5"/>
    <w:rsid w:val="000A27C3"/>
    <w:rsid w:val="000A5BF9"/>
    <w:rsid w:val="000B1304"/>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2689"/>
    <w:rsid w:val="0016315B"/>
    <w:rsid w:val="00170ECB"/>
    <w:rsid w:val="00175149"/>
    <w:rsid w:val="0017582E"/>
    <w:rsid w:val="00184F6A"/>
    <w:rsid w:val="001863CE"/>
    <w:rsid w:val="00186A7D"/>
    <w:rsid w:val="00192BA8"/>
    <w:rsid w:val="00195312"/>
    <w:rsid w:val="001A56D0"/>
    <w:rsid w:val="001B144C"/>
    <w:rsid w:val="001B35C7"/>
    <w:rsid w:val="001B6DA1"/>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E06"/>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848"/>
    <w:rsid w:val="00343979"/>
    <w:rsid w:val="003446DC"/>
    <w:rsid w:val="00360C68"/>
    <w:rsid w:val="0037394E"/>
    <w:rsid w:val="00374487"/>
    <w:rsid w:val="00375334"/>
    <w:rsid w:val="00377689"/>
    <w:rsid w:val="00383290"/>
    <w:rsid w:val="00392362"/>
    <w:rsid w:val="00397E83"/>
    <w:rsid w:val="003A4E7F"/>
    <w:rsid w:val="003A6707"/>
    <w:rsid w:val="003B166F"/>
    <w:rsid w:val="003B208E"/>
    <w:rsid w:val="003B5ED9"/>
    <w:rsid w:val="003B689E"/>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4BDF"/>
    <w:rsid w:val="00445D2E"/>
    <w:rsid w:val="00447DAE"/>
    <w:rsid w:val="00451AB2"/>
    <w:rsid w:val="00455D09"/>
    <w:rsid w:val="00456585"/>
    <w:rsid w:val="00471123"/>
    <w:rsid w:val="004729FE"/>
    <w:rsid w:val="0047373D"/>
    <w:rsid w:val="00474B16"/>
    <w:rsid w:val="00483FB2"/>
    <w:rsid w:val="00484E24"/>
    <w:rsid w:val="00485ACF"/>
    <w:rsid w:val="00485C1B"/>
    <w:rsid w:val="0049177C"/>
    <w:rsid w:val="0049225C"/>
    <w:rsid w:val="004974DF"/>
    <w:rsid w:val="00497D49"/>
    <w:rsid w:val="004A0FCF"/>
    <w:rsid w:val="004A33A9"/>
    <w:rsid w:val="004B14AD"/>
    <w:rsid w:val="004B3AAA"/>
    <w:rsid w:val="004B7AA4"/>
    <w:rsid w:val="004C0794"/>
    <w:rsid w:val="004C3244"/>
    <w:rsid w:val="004D385E"/>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34C"/>
    <w:rsid w:val="00540BD6"/>
    <w:rsid w:val="00542370"/>
    <w:rsid w:val="00544623"/>
    <w:rsid w:val="00545895"/>
    <w:rsid w:val="00545B60"/>
    <w:rsid w:val="005470BC"/>
    <w:rsid w:val="00550D20"/>
    <w:rsid w:val="00551F7F"/>
    <w:rsid w:val="005534CD"/>
    <w:rsid w:val="00553D30"/>
    <w:rsid w:val="00555AE5"/>
    <w:rsid w:val="00557D08"/>
    <w:rsid w:val="00560DC7"/>
    <w:rsid w:val="0056463A"/>
    <w:rsid w:val="005650D7"/>
    <w:rsid w:val="00566439"/>
    <w:rsid w:val="00566D37"/>
    <w:rsid w:val="0056794C"/>
    <w:rsid w:val="00570AE5"/>
    <w:rsid w:val="00570B59"/>
    <w:rsid w:val="00572AD4"/>
    <w:rsid w:val="00574876"/>
    <w:rsid w:val="005754FB"/>
    <w:rsid w:val="00575CC1"/>
    <w:rsid w:val="00580070"/>
    <w:rsid w:val="005806EB"/>
    <w:rsid w:val="00582C13"/>
    <w:rsid w:val="00590868"/>
    <w:rsid w:val="00590A1E"/>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187"/>
    <w:rsid w:val="00611AD0"/>
    <w:rsid w:val="0061403C"/>
    <w:rsid w:val="006209FF"/>
    <w:rsid w:val="006235AE"/>
    <w:rsid w:val="0063000E"/>
    <w:rsid w:val="00630028"/>
    <w:rsid w:val="00641E1A"/>
    <w:rsid w:val="006425B1"/>
    <w:rsid w:val="00644229"/>
    <w:rsid w:val="006452CA"/>
    <w:rsid w:val="006505A9"/>
    <w:rsid w:val="00653416"/>
    <w:rsid w:val="00654C42"/>
    <w:rsid w:val="00656EEA"/>
    <w:rsid w:val="00661293"/>
    <w:rsid w:val="00662A12"/>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3D1"/>
    <w:rsid w:val="007179EE"/>
    <w:rsid w:val="0072027E"/>
    <w:rsid w:val="00721B0B"/>
    <w:rsid w:val="00721E4D"/>
    <w:rsid w:val="00723088"/>
    <w:rsid w:val="0072335D"/>
    <w:rsid w:val="00726728"/>
    <w:rsid w:val="00726D51"/>
    <w:rsid w:val="007279F4"/>
    <w:rsid w:val="0073184C"/>
    <w:rsid w:val="0073193B"/>
    <w:rsid w:val="00741803"/>
    <w:rsid w:val="00744E13"/>
    <w:rsid w:val="00746348"/>
    <w:rsid w:val="007479A5"/>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5848"/>
    <w:rsid w:val="007B696C"/>
    <w:rsid w:val="007B6998"/>
    <w:rsid w:val="007B7FBA"/>
    <w:rsid w:val="007C4DC5"/>
    <w:rsid w:val="007C661C"/>
    <w:rsid w:val="007D0339"/>
    <w:rsid w:val="007E0F00"/>
    <w:rsid w:val="007E34B9"/>
    <w:rsid w:val="007E437A"/>
    <w:rsid w:val="007E5A8B"/>
    <w:rsid w:val="007F0D5A"/>
    <w:rsid w:val="007F32D1"/>
    <w:rsid w:val="00802B38"/>
    <w:rsid w:val="00804C06"/>
    <w:rsid w:val="00822AE3"/>
    <w:rsid w:val="00827DFF"/>
    <w:rsid w:val="0083315C"/>
    <w:rsid w:val="008334B1"/>
    <w:rsid w:val="008355E7"/>
    <w:rsid w:val="008360BC"/>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01EEA"/>
    <w:rsid w:val="00911E70"/>
    <w:rsid w:val="00912463"/>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B1EFB"/>
    <w:rsid w:val="009B3921"/>
    <w:rsid w:val="009B540A"/>
    <w:rsid w:val="009B606E"/>
    <w:rsid w:val="009C7025"/>
    <w:rsid w:val="009D266E"/>
    <w:rsid w:val="009D2B63"/>
    <w:rsid w:val="009E4D28"/>
    <w:rsid w:val="009E6A74"/>
    <w:rsid w:val="009E77F2"/>
    <w:rsid w:val="009F0E1A"/>
    <w:rsid w:val="009F5F29"/>
    <w:rsid w:val="00A00A1E"/>
    <w:rsid w:val="00A03D7E"/>
    <w:rsid w:val="00A0477C"/>
    <w:rsid w:val="00A0645A"/>
    <w:rsid w:val="00A07936"/>
    <w:rsid w:val="00A10145"/>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552A"/>
    <w:rsid w:val="00BA074C"/>
    <w:rsid w:val="00BA2CDE"/>
    <w:rsid w:val="00BA5B57"/>
    <w:rsid w:val="00BA6EE0"/>
    <w:rsid w:val="00BB3198"/>
    <w:rsid w:val="00BB33FD"/>
    <w:rsid w:val="00BB608A"/>
    <w:rsid w:val="00BB63BF"/>
    <w:rsid w:val="00BC3AC8"/>
    <w:rsid w:val="00BC5265"/>
    <w:rsid w:val="00BD0C80"/>
    <w:rsid w:val="00BD1CC0"/>
    <w:rsid w:val="00BD3255"/>
    <w:rsid w:val="00BD4CCF"/>
    <w:rsid w:val="00BD549B"/>
    <w:rsid w:val="00BE0C32"/>
    <w:rsid w:val="00BE3B2C"/>
    <w:rsid w:val="00BE5B7F"/>
    <w:rsid w:val="00BE7445"/>
    <w:rsid w:val="00BE7802"/>
    <w:rsid w:val="00BF0495"/>
    <w:rsid w:val="00BF3DD8"/>
    <w:rsid w:val="00C02E55"/>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62B"/>
    <w:rsid w:val="00C64A49"/>
    <w:rsid w:val="00C6635F"/>
    <w:rsid w:val="00C671F8"/>
    <w:rsid w:val="00C71340"/>
    <w:rsid w:val="00C72240"/>
    <w:rsid w:val="00C73113"/>
    <w:rsid w:val="00C838EA"/>
    <w:rsid w:val="00C848AD"/>
    <w:rsid w:val="00C96A2E"/>
    <w:rsid w:val="00CA13CE"/>
    <w:rsid w:val="00CA3B55"/>
    <w:rsid w:val="00CB0AE3"/>
    <w:rsid w:val="00CB15BE"/>
    <w:rsid w:val="00CB6EBB"/>
    <w:rsid w:val="00CC0AB1"/>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51CE"/>
    <w:rsid w:val="00DE70BD"/>
    <w:rsid w:val="00DF136F"/>
    <w:rsid w:val="00DF77A6"/>
    <w:rsid w:val="00E03B7E"/>
    <w:rsid w:val="00E057B8"/>
    <w:rsid w:val="00E17F72"/>
    <w:rsid w:val="00E32EE2"/>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0210"/>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197E"/>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 w:val="2EAD14DA"/>
    <w:rsid w:val="44DC09CD"/>
    <w:rsid w:val="57BD01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FC949"/>
  <w15:docId w15:val="{C0A35775-4209-49C0-A8B5-6F8A5374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autoRedefine/>
    <w:uiPriority w:val="39"/>
    <w:unhideWhenUsed/>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semiHidden/>
    <w:unhideWhenUsed/>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semiHidden/>
    <w:unhideWhenUsed/>
    <w:qFormat/>
    <w:rPr>
      <w:color w:val="605E5C"/>
      <w:shd w:val="clear" w:color="auto" w:fill="E1DFDD"/>
    </w:rPr>
  </w:style>
  <w:style w:type="character" w:customStyle="1" w:styleId="18">
    <w:name w:val="未处理的提及18"/>
    <w:basedOn w:val="a0"/>
    <w:uiPriority w:val="99"/>
    <w:semiHidden/>
    <w:unhideWhenUsed/>
    <w:qFormat/>
    <w:rPr>
      <w:color w:val="605E5C"/>
      <w:shd w:val="clear" w:color="auto" w:fill="E1DFDD"/>
    </w:rPr>
  </w:style>
  <w:style w:type="character" w:customStyle="1" w:styleId="19">
    <w:name w:val="未处理的提及19"/>
    <w:basedOn w:val="a0"/>
    <w:uiPriority w:val="99"/>
    <w:semiHidden/>
    <w:unhideWhenUsed/>
    <w:qFormat/>
    <w:rPr>
      <w:color w:val="605E5C"/>
      <w:shd w:val="clear" w:color="auto" w:fill="E1DFDD"/>
    </w:rPr>
  </w:style>
  <w:style w:type="character" w:customStyle="1" w:styleId="200">
    <w:name w:val="未处理的提及20"/>
    <w:basedOn w:val="a0"/>
    <w:uiPriority w:val="99"/>
    <w:semiHidden/>
    <w:unhideWhenUsed/>
    <w:qFormat/>
    <w:rPr>
      <w:color w:val="605E5C"/>
      <w:shd w:val="clear" w:color="auto" w:fill="E1DFDD"/>
    </w:rPr>
  </w:style>
  <w:style w:type="character" w:customStyle="1" w:styleId="210">
    <w:name w:val="未处理的提及21"/>
    <w:basedOn w:val="a0"/>
    <w:uiPriority w:val="99"/>
    <w:semiHidden/>
    <w:unhideWhenUsed/>
    <w:qFormat/>
    <w:rPr>
      <w:color w:val="605E5C"/>
      <w:shd w:val="clear" w:color="auto" w:fill="E1DFDD"/>
    </w:rPr>
  </w:style>
  <w:style w:type="character" w:customStyle="1" w:styleId="22">
    <w:name w:val="未处理的提及22"/>
    <w:basedOn w:val="a0"/>
    <w:uiPriority w:val="99"/>
    <w:semiHidden/>
    <w:unhideWhenUsed/>
    <w:qFormat/>
    <w:rPr>
      <w:color w:val="605E5C"/>
      <w:shd w:val="clear" w:color="auto" w:fill="E1DFDD"/>
    </w:rPr>
  </w:style>
  <w:style w:type="character" w:customStyle="1" w:styleId="23">
    <w:name w:val="未处理的提及23"/>
    <w:basedOn w:val="a0"/>
    <w:uiPriority w:val="99"/>
    <w:semiHidden/>
    <w:unhideWhenUsed/>
    <w:qFormat/>
    <w:rPr>
      <w:color w:val="605E5C"/>
      <w:shd w:val="clear" w:color="auto" w:fill="E1DFDD"/>
    </w:rPr>
  </w:style>
  <w:style w:type="character" w:customStyle="1" w:styleId="24">
    <w:name w:val="未处理的提及24"/>
    <w:basedOn w:val="a0"/>
    <w:uiPriority w:val="99"/>
    <w:semiHidden/>
    <w:unhideWhenUsed/>
    <w:qFormat/>
    <w:rPr>
      <w:color w:val="605E5C"/>
      <w:shd w:val="clear" w:color="auto" w:fill="E1DFDD"/>
    </w:rPr>
  </w:style>
  <w:style w:type="character" w:customStyle="1" w:styleId="25">
    <w:name w:val="未处理的提及25"/>
    <w:basedOn w:val="a0"/>
    <w:uiPriority w:val="99"/>
    <w:semiHidden/>
    <w:unhideWhenUsed/>
    <w:qFormat/>
    <w:rPr>
      <w:color w:val="605E5C"/>
      <w:shd w:val="clear" w:color="auto" w:fill="E1DFDD"/>
    </w:rPr>
  </w:style>
  <w:style w:type="character" w:customStyle="1" w:styleId="af7">
    <w:name w:val="批注主题 字符"/>
    <w:basedOn w:val="a6"/>
    <w:link w:val="af6"/>
    <w:uiPriority w:val="99"/>
    <w:semiHidden/>
    <w:qFormat/>
    <w:rPr>
      <w:rFonts w:cs="Arial"/>
      <w:b/>
      <w:bCs/>
      <w:kern w:val="2"/>
      <w:sz w:val="28"/>
      <w:szCs w:val="24"/>
    </w:rPr>
  </w:style>
  <w:style w:type="character" w:customStyle="1" w:styleId="26">
    <w:name w:val="未处理的提及26"/>
    <w:basedOn w:val="a0"/>
    <w:uiPriority w:val="99"/>
    <w:semiHidden/>
    <w:unhideWhenUsed/>
    <w:qFormat/>
    <w:rPr>
      <w:color w:val="605E5C"/>
      <w:shd w:val="clear" w:color="auto" w:fill="E1DFDD"/>
    </w:rPr>
  </w:style>
  <w:style w:type="character" w:customStyle="1" w:styleId="a4">
    <w:name w:val="文档结构图 字符"/>
    <w:basedOn w:val="a0"/>
    <w:link w:val="a3"/>
    <w:uiPriority w:val="99"/>
    <w:semiHidden/>
    <w:qFormat/>
    <w:rPr>
      <w:rFonts w:ascii="宋体"/>
      <w:kern w:val="2"/>
      <w:sz w:val="18"/>
      <w:szCs w:val="18"/>
    </w:rPr>
  </w:style>
  <w:style w:type="character" w:customStyle="1" w:styleId="27">
    <w:name w:val="未处理的提及27"/>
    <w:basedOn w:val="a0"/>
    <w:uiPriority w:val="99"/>
    <w:semiHidden/>
    <w:unhideWhenUsed/>
    <w:qFormat/>
    <w:rPr>
      <w:color w:val="605E5C"/>
      <w:shd w:val="clear" w:color="auto" w:fill="E1DFDD"/>
    </w:rPr>
  </w:style>
  <w:style w:type="character" w:customStyle="1" w:styleId="28">
    <w:name w:val="未处理的提及28"/>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olidnet.org/article/Iraqi-CP-Joint-statement-of-the-Communist-Parties-in-the-Arab-Countries-Solidarity-with-the-Syrian-people-against-the-brutal-Israeli-aggression/" TargetMode="External"/><Relationship Id="rId4" Type="http://schemas.openxmlformats.org/officeDocument/2006/relationships/webSettings" Target="webSettings.xml"/><Relationship Id="rId9" Type="http://schemas.openxmlformats.org/officeDocument/2006/relationships/hyperlink" Target="https://cloud.seatable.cn/dtable/forms/ff203a21-e739-4321-bb63-3d9665873695/" TargetMode="External"/><Relationship Id="rId14" Type="http://schemas.openxmlformats.org/officeDocument/2006/relationships/header" Target="header3.xml"/><Relationship Id="rId22" Type="http://schemas.openxmlformats.org/officeDocument/2006/relationships/hyperlink" Target="https://www.pcrf-ic.fr/Kanaky-Soutien-a-la-lut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9B71-F2CD-445B-8B9D-E2D17C93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27</Pages>
  <Words>1931</Words>
  <Characters>11013</Characters>
  <Application>Microsoft Office Word</Application>
  <DocSecurity>0</DocSecurity>
  <Lines>91</Lines>
  <Paragraphs>25</Paragraphs>
  <ScaleCrop>false</ScaleCrop>
  <Company>china</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976</cp:revision>
  <cp:lastPrinted>2024-12-24T13:36:00Z</cp:lastPrinted>
  <dcterms:created xsi:type="dcterms:W3CDTF">2022-02-02T11:50:00Z</dcterms:created>
  <dcterms:modified xsi:type="dcterms:W3CDTF">2024-12-24T13:39:00Z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d87717b97ae244ec9fea99b82fb6017b</vt:lpwstr>
  </property>
</Properties>
</file>